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F82" w:rsidRPr="00BC6F82" w:rsidRDefault="00BC6F82" w:rsidP="00BC6F82">
      <w:pPr>
        <w:jc w:val="center"/>
        <w:rPr>
          <w:rFonts w:cs="Times New Roman"/>
          <w:sz w:val="28"/>
          <w:szCs w:val="28"/>
        </w:rPr>
      </w:pPr>
      <w:r w:rsidRPr="00BC6F82">
        <w:rPr>
          <w:rFonts w:cs="Times New Roman"/>
          <w:sz w:val="28"/>
          <w:szCs w:val="28"/>
        </w:rPr>
        <w:t>Covid-19 Salgını’nın B</w:t>
      </w:r>
      <w:r w:rsidR="00D04772">
        <w:rPr>
          <w:rFonts w:cs="Times New Roman"/>
          <w:sz w:val="28"/>
          <w:szCs w:val="28"/>
        </w:rPr>
        <w:t xml:space="preserve">IST </w:t>
      </w:r>
      <w:r w:rsidRPr="00BC6F82">
        <w:rPr>
          <w:rFonts w:cs="Times New Roman"/>
          <w:sz w:val="28"/>
          <w:szCs w:val="28"/>
        </w:rPr>
        <w:t>30 Endeksindeki Holdinglerin Ve Yatırım Şirketlerin</w:t>
      </w:r>
      <w:r w:rsidR="00FA310A">
        <w:rPr>
          <w:rFonts w:cs="Times New Roman"/>
          <w:sz w:val="28"/>
          <w:szCs w:val="28"/>
        </w:rPr>
        <w:t>in</w:t>
      </w:r>
      <w:r w:rsidRPr="00BC6F82">
        <w:rPr>
          <w:rFonts w:cs="Times New Roman"/>
          <w:sz w:val="28"/>
          <w:szCs w:val="28"/>
        </w:rPr>
        <w:t xml:space="preserve"> Finansal Tablolarına Etkisi: Yatay Analiz Yöntemiyle Bir Bakış</w:t>
      </w:r>
    </w:p>
    <w:p w:rsidR="00BC6F82" w:rsidRPr="00BC6F82" w:rsidRDefault="00BC6F82" w:rsidP="00BC6F82">
      <w:pPr>
        <w:jc w:val="center"/>
        <w:rPr>
          <w:rFonts w:cs="Times New Roman"/>
          <w:sz w:val="28"/>
          <w:szCs w:val="28"/>
        </w:rPr>
      </w:pPr>
    </w:p>
    <w:p w:rsidR="007054E9" w:rsidRDefault="00D04772" w:rsidP="00BC6F82">
      <w:pPr>
        <w:jc w:val="center"/>
        <w:rPr>
          <w:rFonts w:cs="Times New Roman"/>
          <w:sz w:val="28"/>
          <w:szCs w:val="28"/>
        </w:rPr>
      </w:pPr>
      <w:r>
        <w:rPr>
          <w:rFonts w:cs="Times New Roman"/>
          <w:sz w:val="28"/>
          <w:szCs w:val="28"/>
        </w:rPr>
        <w:t>The Effect Of The Covid-19 Output On The Financi</w:t>
      </w:r>
      <w:r w:rsidR="00BC6F82" w:rsidRPr="00BC6F82">
        <w:rPr>
          <w:rFonts w:cs="Times New Roman"/>
          <w:sz w:val="28"/>
          <w:szCs w:val="28"/>
        </w:rPr>
        <w:t>al Statements Of B</w:t>
      </w:r>
      <w:r>
        <w:rPr>
          <w:rFonts w:cs="Times New Roman"/>
          <w:sz w:val="28"/>
          <w:szCs w:val="28"/>
        </w:rPr>
        <w:t>IST 30 Index Holdings And Investment Compani</w:t>
      </w:r>
      <w:r w:rsidR="00BC6F82" w:rsidRPr="00BC6F82">
        <w:rPr>
          <w:rFonts w:cs="Times New Roman"/>
          <w:sz w:val="28"/>
          <w:szCs w:val="28"/>
        </w:rPr>
        <w:t xml:space="preserve">es: A </w:t>
      </w:r>
      <w:r>
        <w:rPr>
          <w:rFonts w:cs="Times New Roman"/>
          <w:sz w:val="28"/>
          <w:szCs w:val="28"/>
        </w:rPr>
        <w:t>Look By Horizontal Analysi</w:t>
      </w:r>
      <w:r w:rsidR="00BC6F82" w:rsidRPr="00BC6F82">
        <w:rPr>
          <w:rFonts w:cs="Times New Roman"/>
          <w:sz w:val="28"/>
          <w:szCs w:val="28"/>
        </w:rPr>
        <w:t>s Method</w:t>
      </w:r>
    </w:p>
    <w:p w:rsidR="00BC6F82" w:rsidRDefault="00BC6F82" w:rsidP="00BC6F82">
      <w:pPr>
        <w:jc w:val="center"/>
        <w:rPr>
          <w:rFonts w:cs="Times New Roman"/>
          <w:sz w:val="28"/>
          <w:szCs w:val="28"/>
        </w:rPr>
      </w:pPr>
    </w:p>
    <w:p w:rsidR="00BC6F82" w:rsidRDefault="00BC6F82" w:rsidP="00BC6F82">
      <w:r>
        <w:t>ÖZ</w:t>
      </w:r>
    </w:p>
    <w:p w:rsidR="00BC6F82" w:rsidRDefault="00BC6F82" w:rsidP="00BC6F82">
      <w:r>
        <w:t xml:space="preserve">Aralık 2019’da ortaya çıkmış ve hızlı bir şekilde yayılarak tüm </w:t>
      </w:r>
      <w:r w:rsidR="001D4B37">
        <w:t>dünyayı</w:t>
      </w:r>
      <w:r>
        <w:t xml:space="preserve"> etkisi altına alan Covid-19 pandemisi sosyal ve ekonomik bir krize dönüşmüştür</w:t>
      </w:r>
      <w:r w:rsidR="001D4B37">
        <w:t xml:space="preserve"> ve ç</w:t>
      </w:r>
      <w:r>
        <w:t xml:space="preserve">oğu işletmenin finansal performansını olumsuz etkilemiştir. Bu çalışmanın amacı Borsa İstanbul’da işlem gören ve BIST 30 endeksi kapsamında bulunan holdinglerin ve yatırım şirketlerinin finansal tablolarının Covid-19 pandemisinden ne şekilde etkilendiğinin analiz edilmesidir. BIST 30’daki holdinglerin ve yatırım şirketlerinin 2019 ve 2020 yıllarına ait finansal tabloları yatay analiz yöntemi ile </w:t>
      </w:r>
      <w:r w:rsidR="001D4B37">
        <w:t>incelenmiştir</w:t>
      </w:r>
      <w:r>
        <w:t>. Analizde kullanılan finansal tablolar bilanço olup, veriler Kamuyu Aydınlatma Platformu’ndan elde edilmiştir. Sonuç olarak BIST 30’da yer alan holdinglerin ve yatırım şirketlerinin, Covid-19 salgınının yol açtığı küresel ekonomik krizden olumsuz etkilendiği tespit edilmiştir. Bu anlamda, holdinglerin ve yatırım şirketlerinin özellikle kısa vadeli yükümlülükleri ve borçlanma oranlarında olağan dışı artışlar gözlemlenmiş, karlılık oranlarında da aynı ölçüde azalmalar tespit edilmiştir. Salgının etkisinin; mali kuruluş olan holding ve yatırım şirketlerinde ciddi anlamda önem arz ettiği izlenmiştir.</w:t>
      </w:r>
    </w:p>
    <w:p w:rsidR="00BC6F82" w:rsidRPr="00BC6F82" w:rsidRDefault="00BC6F82" w:rsidP="00BC6F82">
      <w:pPr>
        <w:spacing w:line="240" w:lineRule="auto"/>
        <w:ind w:firstLine="708"/>
        <w:rPr>
          <w:sz w:val="18"/>
          <w:szCs w:val="18"/>
        </w:rPr>
      </w:pPr>
      <w:r w:rsidRPr="00BC6F82">
        <w:rPr>
          <w:sz w:val="18"/>
          <w:szCs w:val="18"/>
        </w:rPr>
        <w:t>Anahtar Kelimeler: Covid-19, BIST 30, Mali Tablolar Analizi, Yatırım Şirketleri.</w:t>
      </w:r>
    </w:p>
    <w:p w:rsidR="00BC6F82" w:rsidRDefault="00BC6F82" w:rsidP="00BC6F82"/>
    <w:p w:rsidR="00BC6F82" w:rsidRDefault="00BC6F82" w:rsidP="00BC6F82">
      <w:r>
        <w:t>ABSTRACT</w:t>
      </w:r>
    </w:p>
    <w:p w:rsidR="00BC6F82" w:rsidRDefault="00BC6F82" w:rsidP="00BC6F82">
      <w:r>
        <w:t xml:space="preserve">The Covid-19 pandemic, which emerged in December 2019 and </w:t>
      </w:r>
      <w:proofErr w:type="gramStart"/>
      <w:r>
        <w:t>spread</w:t>
      </w:r>
      <w:proofErr w:type="gramEnd"/>
      <w:r>
        <w:t xml:space="preserve"> rapidly and affected the whole world, turned into a social and economic crisis. It has adversely affected the financial performance of many businesses. The aim of this study is to analyze how the financial statements of holdings and investment companies traded in Borsa Istanbul and included in the BIST 30 index are affected by the Covid-19 pandemic. The financial statements of the holdings and investment companies in BIST 30 for the years 2019 and 2020 were analyzed using the horizontal analysis method. The financial statements used in the analysis are the balance sheet and the </w:t>
      </w:r>
      <w:proofErr w:type="gramStart"/>
      <w:r>
        <w:t>data</w:t>
      </w:r>
      <w:proofErr w:type="gramEnd"/>
      <w:r>
        <w:t xml:space="preserve"> was obtained from the Public Disclosure Platform. As a result, it has been determined that the holdings and investment companies in BIST 30 were adversely affected by the </w:t>
      </w:r>
      <w:proofErr w:type="gramStart"/>
      <w:r>
        <w:t>global</w:t>
      </w:r>
      <w:proofErr w:type="gramEnd"/>
      <w:r>
        <w:t xml:space="preserve"> economic crisis caused by the Covid-19 epidemic. In this sense, extraordinary increases were observed in the short-term liabilities and borrowing rates of holdings and investment companies, and decreases were observed in the profitability ratios at the same rate. The effect of the epidemic; It has been observed that it is of serious importance in holding and investment companies, which are financial institutions.</w:t>
      </w:r>
    </w:p>
    <w:p w:rsidR="00BC6F82" w:rsidRDefault="00BC6F82" w:rsidP="00BC6F82">
      <w:pPr>
        <w:spacing w:line="240" w:lineRule="auto"/>
        <w:ind w:firstLine="708"/>
        <w:rPr>
          <w:sz w:val="18"/>
          <w:szCs w:val="18"/>
        </w:rPr>
      </w:pPr>
      <w:r w:rsidRPr="00BC6F82">
        <w:rPr>
          <w:sz w:val="18"/>
          <w:szCs w:val="18"/>
        </w:rPr>
        <w:t>Keywords: Covid-19, BIST 30, Financial Statements Analysis, Investment Companies.</w:t>
      </w:r>
    </w:p>
    <w:p w:rsidR="007F48CA" w:rsidRDefault="007F48CA" w:rsidP="00BC6F82">
      <w:pPr>
        <w:spacing w:line="240" w:lineRule="auto"/>
        <w:ind w:firstLine="708"/>
        <w:rPr>
          <w:sz w:val="18"/>
          <w:szCs w:val="18"/>
        </w:rPr>
      </w:pPr>
    </w:p>
    <w:p w:rsidR="007F48CA" w:rsidRDefault="007F48CA" w:rsidP="00BC6F82">
      <w:pPr>
        <w:spacing w:line="240" w:lineRule="auto"/>
        <w:ind w:firstLine="708"/>
        <w:rPr>
          <w:sz w:val="18"/>
          <w:szCs w:val="18"/>
        </w:rPr>
      </w:pPr>
    </w:p>
    <w:p w:rsidR="007F48CA" w:rsidRDefault="007F48CA" w:rsidP="00BC6F82">
      <w:pPr>
        <w:spacing w:line="240" w:lineRule="auto"/>
        <w:ind w:firstLine="708"/>
        <w:rPr>
          <w:sz w:val="18"/>
          <w:szCs w:val="18"/>
        </w:rPr>
      </w:pPr>
    </w:p>
    <w:p w:rsidR="007F48CA" w:rsidRDefault="007F48CA" w:rsidP="00BC6F82">
      <w:pPr>
        <w:spacing w:line="240" w:lineRule="auto"/>
        <w:ind w:firstLine="708"/>
        <w:rPr>
          <w:sz w:val="18"/>
          <w:szCs w:val="18"/>
        </w:rPr>
      </w:pPr>
    </w:p>
    <w:p w:rsidR="007F48CA" w:rsidRPr="007F48CA" w:rsidRDefault="007F48CA" w:rsidP="007F48CA">
      <w:pPr>
        <w:rPr>
          <w:sz w:val="24"/>
          <w:szCs w:val="24"/>
        </w:rPr>
      </w:pPr>
      <w:r w:rsidRPr="007F48CA">
        <w:rPr>
          <w:sz w:val="24"/>
          <w:szCs w:val="24"/>
        </w:rPr>
        <w:lastRenderedPageBreak/>
        <w:t>1. GİRİŞ</w:t>
      </w:r>
    </w:p>
    <w:p w:rsidR="007F48CA" w:rsidRDefault="001D4B37" w:rsidP="00CD628A">
      <w:pPr>
        <w:ind w:firstLine="708"/>
      </w:pPr>
      <w:r>
        <w:t>Tüm dünyayı</w:t>
      </w:r>
      <w:r w:rsidR="007F48CA">
        <w:t xml:space="preserve"> etkisi altına alan Covid-19 pandemisi sosyal ve ekonomik bir krize dönüşmüştür. Bazı istisnai sektörlerde faaliyette bulunan firmalar dışında çoğu işletmelerin finansal performansını olumsuz etkilemiştir. Kısa bir süre içerisinde küresel çapta sosyal ve ekonomik bir krize dönüşen bu olay Türkiye’de faaliyette bulunan işletmelerin performanslarını da güçlü bir şekilde etkilemiştir. İşletme ve sektör bazında farklılık arz etse de bu etki genel manada negatif şekilde gerçekleşmiştir. Bu kısımda Covid-19 pandemisinin BIST 30’da endekslenen holding ve yatırım şirketlerinin mali performansları üzerindeki etkisi analiz edilecektir.</w:t>
      </w:r>
    </w:p>
    <w:p w:rsidR="007F48CA" w:rsidRDefault="007F48CA" w:rsidP="00CD628A">
      <w:pPr>
        <w:ind w:firstLine="708"/>
      </w:pPr>
      <w:r>
        <w:t>Mali tablolar analizi</w:t>
      </w:r>
      <w:r w:rsidR="001D4B37">
        <w:t>,</w:t>
      </w:r>
      <w:r>
        <w:t xml:space="preserve"> işletmelerin geçmiş ve mevcut durumlarını izlemenin yanı sıra gelecekteki durumların</w:t>
      </w:r>
      <w:r w:rsidR="001D4B37">
        <w:t>ı da analiz etmeye olanak sağlamaktadır</w:t>
      </w:r>
      <w:r>
        <w:t>. Böylece işletmelerin güçlü ve zayıf yanları, karşı karşıya olduğu riskler ve gelecekte karşılaşabileceği tehlikeler ve fırsatlar da analiz edilebilir. Mali tablolar analizi statik ve dinamik analiz olmak üzere iki temel bileşenden oluşur. Statik analiz işletmenin belli bir andaki durumunun analiz edilmesi iken dinamik analizde ise işletmenin durumu belli bir süreci kapsayacak şekilde gerçekleştirilir (Demir, 2020: 413-414). Dolayısıyla, bu çalışmada kullanılan analiz</w:t>
      </w:r>
      <w:r w:rsidR="001D4B37">
        <w:t xml:space="preserve"> yöntemi,</w:t>
      </w:r>
      <w:r>
        <w:t xml:space="preserve"> dinamik analiz kapsamına </w:t>
      </w:r>
      <w:proofErr w:type="gramStart"/>
      <w:r>
        <w:t>dahildir</w:t>
      </w:r>
      <w:proofErr w:type="gramEnd"/>
      <w:r>
        <w:t xml:space="preserve">. Mali tablolar analizinde birçok analiz metodu bulunmaktadır. Bunlardan en yaygın olanları ise karşılaştırmalı analiz (yatay analiz), </w:t>
      </w:r>
      <w:r w:rsidR="001D4B37">
        <w:t xml:space="preserve"> yüzde yöntemiyle analiz (dikey analiz), </w:t>
      </w:r>
      <w:r>
        <w:t>eğilim yüzdeleri analizi (</w:t>
      </w:r>
      <w:proofErr w:type="gramStart"/>
      <w:r>
        <w:t>trend</w:t>
      </w:r>
      <w:proofErr w:type="gramEnd"/>
      <w:r>
        <w:t xml:space="preserve"> analizi) ve rasyo (oran) analizidir (Demir, 2020: 414).</w:t>
      </w:r>
    </w:p>
    <w:p w:rsidR="007F48CA" w:rsidRDefault="007F48CA" w:rsidP="00CD628A">
      <w:pPr>
        <w:ind w:firstLine="708"/>
      </w:pPr>
      <w:r>
        <w:t xml:space="preserve">Çalışmada kullanılan yöntem temelde betimsel analiz ve veri analizidir. Bu kapsamda, BIST 30’daki holdinglerin ve yatırım şirketlerinin 2019 ve 2020 yıllarına ait bilançoları yatay analiz (karşılaştırmalı mali tablolar analizi) yöntemi ile analiz edilmiştir. Analizde kullanılan finansal tablo bilanço olup bunlara ilişkin veriler ise Kamuyu Aydınlatma Platformu’ndan (KAP) elde edilmiştir. Veriler BIST 30’un içerisinde bulunan 7 adet holding ve yatırım şirketlerinin 2019 ve 2020 yılları için yıllık bilançolarından elde edilmiştir.  </w:t>
      </w:r>
    </w:p>
    <w:p w:rsidR="007F48CA" w:rsidRDefault="007F48CA" w:rsidP="00CD628A">
      <w:pPr>
        <w:ind w:firstLine="708"/>
      </w:pPr>
      <w:r>
        <w:t xml:space="preserve">Bu bağlamda, çalışmanın araştırma soruları şunlardır: </w:t>
      </w:r>
    </w:p>
    <w:p w:rsidR="007F48CA" w:rsidRDefault="007F48CA" w:rsidP="007F48CA">
      <w:r>
        <w:t xml:space="preserve">(i) “Covid-19 pandemisi BIST 30’da faaliyette bulunan holding ve yatırım şirketlerinin finansal tablolarında (mali performanslarında) özel bir etki yaratmış mıdır”? </w:t>
      </w:r>
    </w:p>
    <w:p w:rsidR="007F48CA" w:rsidRDefault="007F48CA" w:rsidP="007F48CA">
      <w:r>
        <w:t xml:space="preserve">(ii) “Bu etkinin varlığı varsayımı altında, etkinin nicel ve nitel temelde özellikleri (yönü, büyüklüğü vs.) nelerdir?” </w:t>
      </w:r>
    </w:p>
    <w:p w:rsidR="007F48CA" w:rsidRDefault="007F48CA" w:rsidP="00CD628A">
      <w:pPr>
        <w:ind w:firstLine="708"/>
      </w:pPr>
      <w:r>
        <w:t>Covid-19 salgını Aralık 2019’da ortaya çıkmış olmakla birlikte küresel çapta ilk etkilerini 2020 yılı başında göstermeye başlamıştır. Bu sebeple veriler kriz öncesi ve kriz sonrası olarak ayrılmış</w:t>
      </w:r>
      <w:r w:rsidR="004C3309">
        <w:t xml:space="preserve"> olup</w:t>
      </w:r>
      <w:r>
        <w:t xml:space="preserve"> kriz öncesi için 2019 yılı bilançosuna (yıllık bilanço) ait veriler temel alınmışken kriz sonrası süreç ise 2020 yılı (yıllık) bilançosundaki veriler yardımı ile analiz edilmiştir. Covid-19’un görece yeni bir vaka olması ve bu konuda yeterli düzeyde bilgi ve araştırmanın bulunmuyor olması çalışmanın kısıtlarındandır. Bununla birlikte, çalışmada yalnızca Borsa İstanbul bünyesindeki pay endekslerinden olan BIST 30’da endekslenen 7 adet holding ve yatırım şirketine ait veriler analiz edilmiş olup diğerleri kapsam dışı tutulmuştur.</w:t>
      </w:r>
    </w:p>
    <w:p w:rsidR="004879E9" w:rsidRDefault="004879E9" w:rsidP="007F48CA"/>
    <w:p w:rsidR="004879E9" w:rsidRDefault="004879E9" w:rsidP="004879E9">
      <w:pPr>
        <w:rPr>
          <w:sz w:val="24"/>
          <w:szCs w:val="24"/>
        </w:rPr>
      </w:pPr>
      <w:r>
        <w:rPr>
          <w:sz w:val="24"/>
          <w:szCs w:val="24"/>
        </w:rPr>
        <w:t xml:space="preserve">2. </w:t>
      </w:r>
      <w:r w:rsidRPr="004879E9">
        <w:rPr>
          <w:sz w:val="24"/>
          <w:szCs w:val="24"/>
        </w:rPr>
        <w:t>LİTERATÜR İNCELEMESİ</w:t>
      </w:r>
    </w:p>
    <w:p w:rsidR="00A9306E" w:rsidRDefault="00A9306E" w:rsidP="004879E9">
      <w:pPr>
        <w:rPr>
          <w:sz w:val="24"/>
          <w:szCs w:val="24"/>
        </w:rPr>
      </w:pPr>
      <w:r>
        <w:rPr>
          <w:sz w:val="24"/>
          <w:szCs w:val="24"/>
        </w:rPr>
        <w:t>2.1. Covid-19 Salgınının Etkileri</w:t>
      </w:r>
    </w:p>
    <w:p w:rsidR="00A9306E" w:rsidRDefault="00A9306E" w:rsidP="00CD628A">
      <w:pPr>
        <w:ind w:firstLine="708"/>
      </w:pPr>
      <w:r w:rsidRPr="00A9306E">
        <w:t>Covid-19 salgınının işletmelerin mali performanslarına etkilerini incelemiş olan akademik çalışma sayısı oldukça az sayıda olmakla birlikte hızla bir şekild</w:t>
      </w:r>
      <w:r>
        <w:t xml:space="preserve">e artış göstermektedir. </w:t>
      </w:r>
      <w:r w:rsidRPr="00A9306E">
        <w:t xml:space="preserve">Covid-19’un borsalar üzerindeki etkilerini inceleyen çalışmaların önemli bir kısmı salgının borsa endeks rakamları </w:t>
      </w:r>
      <w:r w:rsidRPr="00A9306E">
        <w:lastRenderedPageBreak/>
        <w:t>ya da pay senedi getirileri üzerindeki etkisine odaklanmış olup finansal durum analizi gerçekleştiren çalışma sayısı is</w:t>
      </w:r>
      <w:r>
        <w:t xml:space="preserve">e sınırlıdır. Yine de </w:t>
      </w:r>
      <w:proofErr w:type="gramStart"/>
      <w:r>
        <w:t>literatür</w:t>
      </w:r>
      <w:proofErr w:type="gramEnd"/>
      <w:r>
        <w:t xml:space="preserve"> incelemesinde bir takım akademik çalışmalar karşımıza çıkmaktadır. </w:t>
      </w:r>
    </w:p>
    <w:p w:rsidR="00A9306E" w:rsidRDefault="00A9306E" w:rsidP="00CD628A">
      <w:pPr>
        <w:ind w:firstLine="708"/>
      </w:pPr>
      <w:r>
        <w:t>Demir (2020) Covid-19 salgınının BIST 100’de işlem gören şirketlerin üzerinde meydana getirdiği etkileri oran analizi yöntemi ile incelediği çalışmasında Covid-19 pandemisinin incelenen ülkelerin finansal tablolarını etkilediğ</w:t>
      </w:r>
      <w:r w:rsidR="004C3309">
        <w:t xml:space="preserve">i fakat bu etkinin sektörel </w:t>
      </w:r>
      <w:proofErr w:type="gramStart"/>
      <w:r w:rsidR="004C3309">
        <w:t>baz</w:t>
      </w:r>
      <w:r>
        <w:t>da</w:t>
      </w:r>
      <w:proofErr w:type="gramEnd"/>
      <w:r>
        <w:t xml:space="preserve"> farklılıklar arz ettiği sonucuna ulaşmıştır.</w:t>
      </w:r>
    </w:p>
    <w:p w:rsidR="00A9306E" w:rsidRDefault="00A9306E" w:rsidP="00CD628A">
      <w:pPr>
        <w:ind w:firstLine="708"/>
      </w:pPr>
      <w:r>
        <w:t xml:space="preserve">Benzer şekilde, Peker ve Demirhan (2020) Covıd-19 pandemisinin BIST’te işlem gören pay senetlerinin getirileri ile getirilerin </w:t>
      </w:r>
      <w:proofErr w:type="gramStart"/>
      <w:r>
        <w:t>volatiliteleri</w:t>
      </w:r>
      <w:proofErr w:type="gramEnd"/>
      <w:r>
        <w:t xml:space="preserve"> üzerindeki etkisini inceledikleri çalışmalarında bu etkinin sektörel bazda farklılık arz ettiğini tespit etmişlerdir. Bu farklılığın ise temelde ilgili sektörlerin küresel ekonomiye olan bağlantıları, teknoloji düzeyleri ve de ürün ve emek hareketliliği ile olan ilişkilerinden kaynaklandığını tespit etmişlerdir.</w:t>
      </w:r>
    </w:p>
    <w:p w:rsidR="00A9306E" w:rsidRDefault="00A9306E" w:rsidP="00CD628A">
      <w:pPr>
        <w:ind w:firstLine="708"/>
      </w:pPr>
      <w:r>
        <w:t xml:space="preserve">Baur ve Trench (2020) Covid-19 salgınının Avustralya Borsası’na kayıtlı olan ASX100 bünyesindeki şirketlerin mali performansları üzerindeki etkisini ve bu işletmelerin Covid-19 pandemisine karşı ne tür tedbirler aldığını araştırmışlardır. Salgının şirketlere farklı düzeylerde etki ettiğini ve işletmelerin bu negatif etkilere karşı sermaye artırımı, kemer sıkma politikaları, kâr payı ödemelerinin ötelenmesi gibi politikalar ile karşılık verdiğini tespit etmişlerdir. Ayrıca salgının </w:t>
      </w:r>
      <w:r w:rsidR="004C3309">
        <w:t xml:space="preserve">yıkıcı etkilerinin sektörel </w:t>
      </w:r>
      <w:proofErr w:type="gramStart"/>
      <w:r w:rsidR="004C3309">
        <w:t>baz</w:t>
      </w:r>
      <w:r>
        <w:t>da</w:t>
      </w:r>
      <w:proofErr w:type="gramEnd"/>
      <w:r>
        <w:t xml:space="preserve"> farklılık arz ettiği sonucuna ulaşmışlardır.</w:t>
      </w:r>
    </w:p>
    <w:p w:rsidR="00A9306E" w:rsidRDefault="00A9306E" w:rsidP="00CD628A">
      <w:pPr>
        <w:ind w:firstLine="708"/>
      </w:pPr>
      <w:r>
        <w:t>Yıldırım ve Kılıç (2021) Covid-19 pandemisinin işletmeler üzerindeki olası etkilerini araştırdıkları makalelerinde BIST Ulaştırma Endeksi’nde 6-2019, 9-2019, 12-2019, 3-2020, 6-2020 ve 9-2020 dönemlerinde faaliyette bulunan işletmelerin finansal tablolarını incelemişlerdir. Finansal tablolardaki rakamlardan elde edilen finansal oranlara göre ulaştırma sektöründe faal bulunan işletmelerin salgın öncesi ve sonrası finansal yapı, karlılık, likidite ve varlık kullanım oranları incelenmiş ve sektördeki işletmelerin Covid-19 salgınından olumsuz şekilde etkilendiği tespit edilmiştir.</w:t>
      </w:r>
    </w:p>
    <w:p w:rsidR="004879E9" w:rsidRPr="004879E9" w:rsidRDefault="00A9306E" w:rsidP="004879E9">
      <w:pPr>
        <w:rPr>
          <w:sz w:val="24"/>
          <w:szCs w:val="24"/>
        </w:rPr>
      </w:pPr>
      <w:r>
        <w:rPr>
          <w:sz w:val="24"/>
          <w:szCs w:val="24"/>
        </w:rPr>
        <w:t>2.2</w:t>
      </w:r>
      <w:r w:rsidR="004879E9">
        <w:rPr>
          <w:sz w:val="24"/>
          <w:szCs w:val="24"/>
        </w:rPr>
        <w:t xml:space="preserve">. </w:t>
      </w:r>
      <w:r w:rsidR="006A013B">
        <w:rPr>
          <w:sz w:val="24"/>
          <w:szCs w:val="24"/>
        </w:rPr>
        <w:t>BI</w:t>
      </w:r>
      <w:r w:rsidR="006A013B" w:rsidRPr="004879E9">
        <w:rPr>
          <w:sz w:val="24"/>
          <w:szCs w:val="24"/>
        </w:rPr>
        <w:t>ST</w:t>
      </w:r>
      <w:r w:rsidR="004879E9" w:rsidRPr="004879E9">
        <w:rPr>
          <w:sz w:val="24"/>
          <w:szCs w:val="24"/>
        </w:rPr>
        <w:t xml:space="preserve"> 30 Endeksi</w:t>
      </w:r>
    </w:p>
    <w:p w:rsidR="004879E9" w:rsidRDefault="004879E9" w:rsidP="00CD628A">
      <w:pPr>
        <w:ind w:firstLine="708"/>
      </w:pPr>
      <w:r>
        <w:t xml:space="preserve">Borsa İstanbul (BIST) bünyesinde çeşitli endeks ve endeks grupları (sınıflandırmaları) mevcuttur. Bunlar piyasa hareketlerinin izlenebilmesi, ihraca konu olan finansal ürünlere dayanak varlık olmaları ve de kolektif yatırım araçları açısından bir çeşit karşılaştırma kıstası olarak kullanılmaları gibi amaçlarla oluşturulmuştur. BIST bünyesindeki bu endeks grupları; </w:t>
      </w:r>
    </w:p>
    <w:p w:rsidR="004879E9" w:rsidRDefault="004879E9" w:rsidP="004879E9">
      <w:r>
        <w:t>-BIST Pay Endeksleri,</w:t>
      </w:r>
    </w:p>
    <w:p w:rsidR="004879E9" w:rsidRDefault="004879E9" w:rsidP="004879E9">
      <w:r>
        <w:t>-BIST KYD Endeksleri,</w:t>
      </w:r>
    </w:p>
    <w:p w:rsidR="004879E9" w:rsidRDefault="004879E9" w:rsidP="004879E9">
      <w:r>
        <w:t xml:space="preserve">-BIST Strateji Endeksleri </w:t>
      </w:r>
    </w:p>
    <w:p w:rsidR="004879E9" w:rsidRDefault="004879E9" w:rsidP="004879E9">
      <w:r>
        <w:t>-BIST Altına Dayalı Endeksler olmak üzere dört ana grup altında toplanır (BIST, 2021a).</w:t>
      </w:r>
    </w:p>
    <w:p w:rsidR="004879E9" w:rsidRDefault="004879E9" w:rsidP="00CD628A">
      <w:pPr>
        <w:ind w:firstLine="708"/>
      </w:pPr>
      <w:r>
        <w:t xml:space="preserve">Bahsi geçen endeks gruplarından BIST Pay Endeksleri BIST’te işlem görmekte olan payların fiyat ve getiri performanslarının gruplar hâlinde ölçülebilmesi amacıyla oluşturulmuştur (BIST, 2021b, s. 1). BIST pay endekslerinden BIST 100 Endeksi BIST pay piyasası için temel endekstir, Yıldız Pazar işlem görmekte olan şirketlerden seçilen toplam 100 paydan oluşur, BIST 50 ve BIST 30’daki payları da kapsar. Benzer şekilde, BIST 50 Endeksi de Yıldız Pazar’da işlem görmekte olan şirketlerden seçilen toplam 50 paydan oluşur, BIST 30’daki payları da kapsar. BIST 30 Endeksi ise yine Yıldız Pazar’da işlem gören şirketlerden oluşan toplam 30 paydan oluşur (BIST, 2021b, s. 6). Bunların dışında BIST Bankacılık endeksi, BIST Temettü endeksi, BIST Temettü 25 endeksi ve BIST KOBİ Sanayi endeksi gibi başka endeksler de bulunmaktadır. BIST pay piyasası için temel endeks </w:t>
      </w:r>
      <w:r>
        <w:lastRenderedPageBreak/>
        <w:t>pozisyonunda bulunan BIST 100 endeksi piyasa ve işlem hacmi bakımından en yüksek ilk 100 hisse senedinden oluşur. Bu kural BIST 50 ve BIST 30 için de sırasıyla piyasa ve işlem hacmi bakımından en yüksek ilk 50 ve ilk 30 pay olmak üzere aynen geçerlidir.</w:t>
      </w:r>
    </w:p>
    <w:p w:rsidR="00A9306E" w:rsidRDefault="0088529B" w:rsidP="004879E9">
      <w:pPr>
        <w:rPr>
          <w:sz w:val="24"/>
          <w:szCs w:val="24"/>
        </w:rPr>
      </w:pPr>
      <w:r>
        <w:rPr>
          <w:sz w:val="24"/>
          <w:szCs w:val="24"/>
        </w:rPr>
        <w:t>3</w:t>
      </w:r>
      <w:r w:rsidR="00A9306E">
        <w:rPr>
          <w:sz w:val="24"/>
          <w:szCs w:val="24"/>
        </w:rPr>
        <w:t>. YÖNTEM</w:t>
      </w:r>
    </w:p>
    <w:p w:rsidR="00A9306E" w:rsidRPr="00A9306E" w:rsidRDefault="00A9306E" w:rsidP="00CD628A">
      <w:pPr>
        <w:ind w:firstLine="708"/>
      </w:pPr>
      <w:r w:rsidRPr="00A9306E">
        <w:t>Borsa İstanbul bünyesindeki pay endekslerinden olan BIST 30’da endekslenen 7 adet holding ve yatırım şirketine ait veriler analiz edilecek olup, diğerleri kapsam dışı tutulacaktır. Çalışmada, BIST 30’daki holdinglerin ve yatırım şirketlerinin 2019 ve 2020 yıllarına ait bilançoları yatay analiz (karşılaştırmalı mali tablolar analizi) yöntemi ile analiz edilecektir.</w:t>
      </w:r>
    </w:p>
    <w:p w:rsidR="004879E9" w:rsidRDefault="004879E9" w:rsidP="004879E9">
      <w:r>
        <w:t>Aşağıda yer alan Tablo 1’de BIST 30 kapsamında endekslenen işletmelerin listesi sektörel olarak sınıflandırılmış şekilde yer almaktadır:</w:t>
      </w:r>
    </w:p>
    <w:p w:rsidR="004879E9" w:rsidRDefault="004879E9" w:rsidP="001D60F5">
      <w:pPr>
        <w:jc w:val="center"/>
      </w:pPr>
      <w:r w:rsidRPr="004879E9">
        <w:t>Tablo 1: BIST 30 Endeksindeki Şirketlerin Listesi</w:t>
      </w:r>
    </w:p>
    <w:tbl>
      <w:tblPr>
        <w:tblW w:w="9142" w:type="dxa"/>
        <w:tblCellMar>
          <w:left w:w="70" w:type="dxa"/>
          <w:right w:w="70" w:type="dxa"/>
        </w:tblCellMar>
        <w:tblLook w:val="04A0" w:firstRow="1" w:lastRow="0" w:firstColumn="1" w:lastColumn="0" w:noHBand="0" w:noVBand="1"/>
      </w:tblPr>
      <w:tblGrid>
        <w:gridCol w:w="562"/>
        <w:gridCol w:w="3042"/>
        <w:gridCol w:w="5538"/>
      </w:tblGrid>
      <w:tr w:rsidR="004879E9" w:rsidRPr="001D60F5" w:rsidTr="004879E9">
        <w:trPr>
          <w:trHeight w:val="31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rPr>
                <w:b/>
                <w:sz w:val="20"/>
                <w:szCs w:val="20"/>
              </w:rPr>
            </w:pPr>
            <w:r w:rsidRPr="001D60F5">
              <w:rPr>
                <w:b/>
                <w:sz w:val="20"/>
                <w:szCs w:val="20"/>
              </w:rPr>
              <w:t>NO</w:t>
            </w:r>
          </w:p>
        </w:tc>
        <w:tc>
          <w:tcPr>
            <w:tcW w:w="3042" w:type="dxa"/>
            <w:tcBorders>
              <w:top w:val="single" w:sz="4" w:space="0" w:color="auto"/>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İŞLETME ADI</w:t>
            </w:r>
          </w:p>
        </w:tc>
        <w:tc>
          <w:tcPr>
            <w:tcW w:w="5538" w:type="dxa"/>
            <w:tcBorders>
              <w:top w:val="single" w:sz="4" w:space="0" w:color="auto"/>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SEKTÖR</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1</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EREĞLİ DEMİR VE ÇELİK FABRİKALARI T.A.Ş.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İMALAT / ANA METAL SANAYİ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2</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GÜBRE FABRİKALARI T.A.Ş.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İMALAT / KİMYA İLAÇ PETROL LASTİK VE PLASTİK ÜRÜNLER</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3</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PETKİM PETROKİMYA HOLDİNG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İMALAT / KİMYA İLAÇ PETROL LASTİK VE PLASTİK ÜRÜNLER</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4</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SASA POLYESTER SANAYİ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İMALAT / KİMYA İLAÇ PETROL LASTİK VE PLASTİK ÜRÜNLER</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5</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TÜPRAŞ-TÜRKİYE PETROL RAFİNERİLERİ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İMALAT / KİMYA İLAÇ PETROL LASTİK VE PLASTİK ÜRÜNLER</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6</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ARÇELİK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İMALAT / METAL EŞYA MAKİNE ELEKTRİKLİ CİHAZLAR VE ULAŞIM ARAÇLARI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7</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FORD OTOMOTIV SANAYI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İMALAT / METAL EŞYA MAKİNE ELEKTRİKLİ CİHAZLAR VE ULAŞIM ARAÇLARI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8</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VESTEL ELEKTRONİK SANAYİ VE TİCARET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İMALAT / METAL EŞYA MAKİNE ELEKTRİKLİ CİHAZLAR VE ULAŞIM ARAÇLARI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9</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KOZA ALTIN İŞLETMELERİ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MADENCİLİK VE TAŞ OCAKÇILIĞI / KÖMÜR VE LİNYİT MADENCİLİĞİ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10</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KOZA ANADOLU METAL MADENCİLİK İŞLETMELERİ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MADENCİLİK VE TAŞ OCAKÇILIĞI / METAL CEVHERİ MADENCİLİĞİ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11</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AKBANK T.A.Ş.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BANKALAR</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12</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TÜRKİYE GARANTİ BANKASI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BANKALAR</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13</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TÜRKİYE HALK BANKASI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BANKALAR</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14</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TÜRKİYE İŞ BANKASI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BANKALAR</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15</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TÜRKİYE VAKIFLAR BANKASI T.A.O.</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BANKALAR</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16</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YAPI VE KREDİ BANKASI</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BANKALAR</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17</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EMLAK KONUT GAYRİMENKUL YATIRIM ORTAKLIĞI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GAYRİMENKUL YATIRIM ORTAKLIKLARI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lastRenderedPageBreak/>
              <w:t>18</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DOĞAN ŞİRKETLER GRUBU HOLDİNG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HOLDİNGLER VE YATIRIM ŞİRKETLERİ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19</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HACI ÖMER SABANCI HOLDİNG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HOLDİNGLER VE YATIRIM ŞİRKETLERİ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20</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KARDEMİR KARABÜK DEMİR ÇELİK SANAYİ VE TİCARET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HOLDİNGLER VE YATIRIM ŞİRKETLERİ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21</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KOÇ HOLDİNG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HOLDİNGLER VE YATIRIM ŞİRKETLERİ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22</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TAV HAVALİMANLARI HOLDİNG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HOLDİNGLER VE YATIRIM ŞİRKETLERİ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23</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TEKFEN HOLDİNG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HOLDİNGLER VE YATIRIM ŞİRKETLERİ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24</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TÜRKİYE ŞİŞE VE CAM FABRİKALARI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MALİ KURULUŞLAR / HOLDİNGLER VE YATIRIM ŞİRKETLERİ</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25</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ASELSAN ELEKTRONİK SANAYİ VE TİCARET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TEKNOLOJİ / SAVUNMA</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26</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BİM BİRLEŞİK MAĞAZALAR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TOPTAN VE PERAKENDE TİCARET, LOKANTALAR VE OTELLER / PERAKENDE TİCARET</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27</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TURKCELL İLETİŞİM HİZMETLERİ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ULAŞTIRMA, DEPOLAMA VE HABERLEŞME / HABERLESME</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28</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TÜRK TELEKOMÜNİKASYON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ULAŞTIRMA, DEPOLAMA VE HABERLEŞME / HABERLESME</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b/>
                <w:sz w:val="20"/>
                <w:szCs w:val="20"/>
              </w:rPr>
            </w:pPr>
            <w:r w:rsidRPr="001D60F5">
              <w:rPr>
                <w:b/>
                <w:sz w:val="20"/>
                <w:szCs w:val="20"/>
              </w:rPr>
              <w:t>29</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PEGASUS HAVA TAŞIMACILIĞI A.Ş.</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ULAŞTIRMA, DEPOLAMA VE HABERLEŞME / ULAŞTIRMA VE DEPOLAMA</w:t>
            </w:r>
          </w:p>
        </w:tc>
      </w:tr>
      <w:tr w:rsidR="004879E9" w:rsidRPr="001D60F5" w:rsidTr="004879E9">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b/>
                <w:sz w:val="20"/>
                <w:szCs w:val="20"/>
              </w:rPr>
              <w:t>30</w:t>
            </w:r>
          </w:p>
        </w:tc>
        <w:tc>
          <w:tcPr>
            <w:tcW w:w="3042"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spacing w:after="0" w:line="240" w:lineRule="auto"/>
              <w:ind w:left="-567" w:firstLine="709"/>
              <w:jc w:val="center"/>
              <w:rPr>
                <w:sz w:val="20"/>
                <w:szCs w:val="20"/>
              </w:rPr>
            </w:pPr>
            <w:r w:rsidRPr="001D60F5">
              <w:rPr>
                <w:sz w:val="20"/>
                <w:szCs w:val="20"/>
              </w:rPr>
              <w:t>TÜRK HAVA YOLLARI A.O.</w:t>
            </w:r>
          </w:p>
        </w:tc>
        <w:tc>
          <w:tcPr>
            <w:tcW w:w="5538" w:type="dxa"/>
            <w:tcBorders>
              <w:top w:val="nil"/>
              <w:left w:val="nil"/>
              <w:bottom w:val="single" w:sz="4" w:space="0" w:color="auto"/>
              <w:right w:val="single" w:sz="4" w:space="0" w:color="auto"/>
            </w:tcBorders>
            <w:shd w:val="clear" w:color="auto" w:fill="auto"/>
            <w:noWrap/>
            <w:vAlign w:val="center"/>
            <w:hideMark/>
          </w:tcPr>
          <w:p w:rsidR="004879E9" w:rsidRPr="001D60F5" w:rsidRDefault="004879E9" w:rsidP="001D60F5">
            <w:pPr>
              <w:keepNext/>
              <w:spacing w:after="0" w:line="240" w:lineRule="auto"/>
              <w:ind w:left="-567" w:firstLine="709"/>
              <w:jc w:val="center"/>
              <w:rPr>
                <w:sz w:val="20"/>
                <w:szCs w:val="20"/>
              </w:rPr>
            </w:pPr>
            <w:r w:rsidRPr="001D60F5">
              <w:rPr>
                <w:sz w:val="20"/>
                <w:szCs w:val="20"/>
              </w:rPr>
              <w:t>ULAŞTIRMA, DEPOLAMA VE HABERLEŞME / ULAŞTIRMA VE DEPOLAMA</w:t>
            </w:r>
          </w:p>
        </w:tc>
      </w:tr>
    </w:tbl>
    <w:p w:rsidR="004879E9" w:rsidRDefault="004879E9" w:rsidP="004879E9">
      <w:r>
        <w:t>Kaynak: (KAP, 2021a.)</w:t>
      </w:r>
    </w:p>
    <w:p w:rsidR="004879E9" w:rsidRDefault="000D6FB2" w:rsidP="00CD628A">
      <w:pPr>
        <w:ind w:firstLine="708"/>
      </w:pPr>
      <w:r>
        <w:t xml:space="preserve">Çalışma da, </w:t>
      </w:r>
      <w:r w:rsidR="001D60F5" w:rsidRPr="00A9306E">
        <w:t xml:space="preserve">BIST 30’da endekslenen 7 adet </w:t>
      </w:r>
      <w:r w:rsidR="001D60F5">
        <w:t>mali kuruluşlar/</w:t>
      </w:r>
      <w:r w:rsidR="001D60F5" w:rsidRPr="00A9306E">
        <w:t>holding</w:t>
      </w:r>
      <w:r w:rsidR="001D60F5">
        <w:t xml:space="preserve">ler ve yatırım şirketlerine </w:t>
      </w:r>
      <w:r w:rsidR="00D275BF">
        <w:t xml:space="preserve">ait veriler analizleri bulunmaktadır. </w:t>
      </w:r>
      <w:r w:rsidRPr="00A9306E">
        <w:t xml:space="preserve">BIST 30’daki holdinglerin ve yatırım şirketlerinin 2019 ve 2020 yıllarına ait bilançoları yatay analiz (karşılaştırmalı mali tablolar analizi) </w:t>
      </w:r>
      <w:r>
        <w:t>yöntemi ile analiz edilecektir.</w:t>
      </w:r>
    </w:p>
    <w:p w:rsidR="000D6FB2" w:rsidRDefault="004879E9" w:rsidP="00CD628A">
      <w:pPr>
        <w:ind w:firstLine="708"/>
      </w:pPr>
      <w:r>
        <w:t>Aş</w:t>
      </w:r>
      <w:r w:rsidR="00E018C9">
        <w:t xml:space="preserve">ağıdaki </w:t>
      </w:r>
      <w:r w:rsidR="009611A2">
        <w:t>tablolar</w:t>
      </w:r>
      <w:r w:rsidR="00E018C9">
        <w:t>da</w:t>
      </w:r>
      <w:r w:rsidRPr="009611A2">
        <w:t xml:space="preserve"> </w:t>
      </w:r>
      <w:r w:rsidR="00E018C9">
        <w:t>sırasıyla; Tablo 2’de</w:t>
      </w:r>
      <w:r w:rsidR="009611A2" w:rsidRPr="009611A2">
        <w:t xml:space="preserve"> </w:t>
      </w:r>
      <w:r w:rsidRPr="009611A2">
        <w:t>Doğan Şirketler Grubu Holding A.Ş. işletmesine</w:t>
      </w:r>
      <w:r w:rsidR="009611A2" w:rsidRPr="009611A2">
        <w:t xml:space="preserve">, </w:t>
      </w:r>
      <w:r w:rsidR="00E018C9">
        <w:t>Tablo 3’de</w:t>
      </w:r>
      <w:r w:rsidR="00E018C9" w:rsidRPr="009611A2">
        <w:t xml:space="preserve"> </w:t>
      </w:r>
      <w:r w:rsidR="009611A2" w:rsidRPr="009611A2">
        <w:t xml:space="preserve">Hacı Ömer Sabancı Holding A.Ş. işletmesine, </w:t>
      </w:r>
      <w:r w:rsidR="00E018C9">
        <w:t>Tablo 4’te</w:t>
      </w:r>
      <w:r w:rsidR="00E018C9" w:rsidRPr="009611A2">
        <w:t xml:space="preserve"> </w:t>
      </w:r>
      <w:r w:rsidR="009611A2" w:rsidRPr="009611A2">
        <w:t>Kardemir Karabük Demir Çelik Sanayi Ve Ticaret A.Ş. işletmesine,</w:t>
      </w:r>
      <w:r w:rsidR="00E018C9" w:rsidRPr="00E018C9">
        <w:t xml:space="preserve"> </w:t>
      </w:r>
      <w:r w:rsidR="00E018C9">
        <w:t>Tablo 5’te</w:t>
      </w:r>
      <w:r w:rsidR="009611A2" w:rsidRPr="009611A2">
        <w:t xml:space="preserve"> Koç Holding A.Ş. işletmesine, </w:t>
      </w:r>
      <w:r w:rsidR="00E018C9">
        <w:t>Tablo 6’da</w:t>
      </w:r>
      <w:r w:rsidR="00E018C9" w:rsidRPr="009611A2">
        <w:t xml:space="preserve"> </w:t>
      </w:r>
      <w:r w:rsidR="009611A2" w:rsidRPr="009611A2">
        <w:t xml:space="preserve">Tav Havalimanları Holding A.Ş. işletmesine, </w:t>
      </w:r>
      <w:r w:rsidR="00E018C9">
        <w:t>Tablo 7’de</w:t>
      </w:r>
      <w:r w:rsidR="00E018C9" w:rsidRPr="009611A2">
        <w:t xml:space="preserve"> </w:t>
      </w:r>
      <w:r w:rsidR="009611A2" w:rsidRPr="009611A2">
        <w:t xml:space="preserve">Tekfen Holding A.Ş. işletmesine, </w:t>
      </w:r>
      <w:r w:rsidR="00E018C9">
        <w:t>Tablo 8’de</w:t>
      </w:r>
      <w:r w:rsidR="00E018C9" w:rsidRPr="009611A2">
        <w:t xml:space="preserve"> </w:t>
      </w:r>
      <w:r w:rsidR="009611A2" w:rsidRPr="009611A2">
        <w:t>Türkiye Şişe Ve Cam Fabrikaları A.Ş. işletmesine</w:t>
      </w:r>
      <w:r w:rsidR="00E018C9">
        <w:t xml:space="preserve"> ait bilanço rakamları yer almaktadır</w:t>
      </w:r>
      <w:r>
        <w:t>.</w:t>
      </w:r>
    </w:p>
    <w:p w:rsidR="004879E9" w:rsidRDefault="004879E9" w:rsidP="004879E9">
      <w:r>
        <w:t xml:space="preserve"> </w:t>
      </w:r>
      <w:r w:rsidR="00CD628A">
        <w:tab/>
      </w:r>
      <w:r>
        <w:t>Bilançoda hem 2019 yılı hem de 2020 yılına ait rakamlar bulunmaktadır. Bilanço rakamları yıllıktır. Bu rakamlardaki değişim ise aşağıdaki tabloda hem tutar hem de oransal değişim (% oran) olarak yansıtılmıştır.</w:t>
      </w:r>
    </w:p>
    <w:p w:rsidR="00E018C9" w:rsidRDefault="00E018C9" w:rsidP="00E018C9">
      <w:pPr>
        <w:jc w:val="center"/>
      </w:pPr>
      <w:r>
        <w:t>Tablo 2</w:t>
      </w:r>
      <w:r w:rsidRPr="00E018C9">
        <w:t xml:space="preserve">: </w:t>
      </w:r>
      <w:r w:rsidRPr="009611A2">
        <w:t>Doğan Şirketler Grubu Holding A.Ş.</w:t>
      </w:r>
      <w:r>
        <w:t xml:space="preserve"> Bilanço Rakamları</w:t>
      </w:r>
    </w:p>
    <w:tbl>
      <w:tblPr>
        <w:tblW w:w="5000" w:type="pct"/>
        <w:tblCellMar>
          <w:left w:w="70" w:type="dxa"/>
          <w:right w:w="70" w:type="dxa"/>
        </w:tblCellMar>
        <w:tblLook w:val="04A0" w:firstRow="1" w:lastRow="0" w:firstColumn="1" w:lastColumn="0" w:noHBand="0" w:noVBand="1"/>
      </w:tblPr>
      <w:tblGrid>
        <w:gridCol w:w="3047"/>
        <w:gridCol w:w="1841"/>
        <w:gridCol w:w="1765"/>
        <w:gridCol w:w="1371"/>
        <w:gridCol w:w="1188"/>
      </w:tblGrid>
      <w:tr w:rsidR="004879E9" w:rsidRPr="009611A2" w:rsidTr="004879E9">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879E9" w:rsidRPr="009611A2" w:rsidRDefault="004879E9" w:rsidP="009611A2">
            <w:pPr>
              <w:spacing w:after="0" w:line="240" w:lineRule="auto"/>
              <w:ind w:firstLine="709"/>
              <w:jc w:val="center"/>
              <w:rPr>
                <w:b/>
                <w:sz w:val="20"/>
                <w:szCs w:val="20"/>
              </w:rPr>
            </w:pPr>
            <w:r w:rsidRPr="009611A2">
              <w:rPr>
                <w:b/>
                <w:sz w:val="20"/>
                <w:szCs w:val="20"/>
              </w:rPr>
              <w:t>DOĞAN ŞİRKETLER GRUBU HOLDİNG A.Ş.</w:t>
            </w:r>
          </w:p>
        </w:tc>
      </w:tr>
      <w:tr w:rsidR="004879E9" w:rsidRPr="009611A2" w:rsidTr="004879E9">
        <w:trPr>
          <w:trHeight w:val="315"/>
        </w:trPr>
        <w:tc>
          <w:tcPr>
            <w:tcW w:w="1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sz w:val="20"/>
                <w:szCs w:val="20"/>
              </w:rPr>
            </w:pPr>
            <w:r w:rsidRPr="009611A2">
              <w:rPr>
                <w:sz w:val="20"/>
                <w:szCs w:val="20"/>
              </w:rPr>
              <w:t> </w:t>
            </w:r>
          </w:p>
        </w:tc>
        <w:tc>
          <w:tcPr>
            <w:tcW w:w="1957" w:type="pct"/>
            <w:gridSpan w:val="2"/>
            <w:tcBorders>
              <w:top w:val="single" w:sz="4" w:space="0" w:color="auto"/>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b/>
                <w:sz w:val="20"/>
                <w:szCs w:val="20"/>
              </w:rPr>
            </w:pPr>
            <w:r w:rsidRPr="009611A2">
              <w:rPr>
                <w:b/>
                <w:sz w:val="20"/>
                <w:szCs w:val="20"/>
              </w:rPr>
              <w:t>DÖNEM</w:t>
            </w:r>
          </w:p>
        </w:tc>
        <w:tc>
          <w:tcPr>
            <w:tcW w:w="1388" w:type="pct"/>
            <w:gridSpan w:val="2"/>
            <w:tcBorders>
              <w:top w:val="single" w:sz="4" w:space="0" w:color="auto"/>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b/>
                <w:sz w:val="20"/>
                <w:szCs w:val="20"/>
              </w:rPr>
            </w:pPr>
            <w:r w:rsidRPr="009611A2">
              <w:rPr>
                <w:b/>
                <w:sz w:val="20"/>
                <w:szCs w:val="20"/>
              </w:rPr>
              <w:t>DEĞİŞİM</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HESAP ADI </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b/>
                <w:sz w:val="20"/>
                <w:szCs w:val="20"/>
              </w:rPr>
            </w:pPr>
            <w:r w:rsidRPr="009611A2">
              <w:rPr>
                <w:b/>
                <w:sz w:val="20"/>
                <w:szCs w:val="20"/>
              </w:rPr>
              <w:t>31.12.2020</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b/>
                <w:sz w:val="20"/>
                <w:szCs w:val="20"/>
              </w:rPr>
            </w:pPr>
            <w:r w:rsidRPr="009611A2">
              <w:rPr>
                <w:b/>
                <w:sz w:val="20"/>
                <w:szCs w:val="20"/>
              </w:rPr>
              <w:t>31.12.2019</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b/>
                <w:sz w:val="20"/>
                <w:szCs w:val="20"/>
              </w:rPr>
            </w:pPr>
            <w:r w:rsidRPr="009611A2">
              <w:rPr>
                <w:b/>
                <w:sz w:val="20"/>
                <w:szCs w:val="20"/>
              </w:rPr>
              <w:t>TUTAR</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b/>
                <w:sz w:val="20"/>
                <w:szCs w:val="20"/>
              </w:rPr>
            </w:pPr>
            <w:r w:rsidRPr="009611A2">
              <w:rPr>
                <w:b/>
                <w:sz w:val="20"/>
                <w:szCs w:val="20"/>
              </w:rPr>
              <w:t>ORAN</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lastRenderedPageBreak/>
              <w:t>DÖNEN VARLIKLAR</w:t>
            </w:r>
          </w:p>
        </w:tc>
        <w:tc>
          <w:tcPr>
            <w:tcW w:w="999"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rPr>
                <w:sz w:val="20"/>
                <w:szCs w:val="20"/>
              </w:rPr>
            </w:pPr>
          </w:p>
        </w:tc>
        <w:tc>
          <w:tcPr>
            <w:tcW w:w="958"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Nakit ve Nakit Benzerleri</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2.905.947</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3.278.832</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-372.885</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-11%</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Finansal Yatırımlar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2.424.023</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1.177.726</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1.246.297</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106%</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Türev Araçlar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22.683</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18.993</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3.690</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19%</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Stoklar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778.944</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621.783</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157.161</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25%</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TOPLAM DÖNEN VARLIKLAR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8.177.654</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6.988.247</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1.189.407</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17%</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DURAN VARLIKLAR</w:t>
            </w:r>
          </w:p>
        </w:tc>
        <w:tc>
          <w:tcPr>
            <w:tcW w:w="999"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rPr>
                <w:sz w:val="20"/>
                <w:szCs w:val="20"/>
              </w:rPr>
            </w:pPr>
          </w:p>
        </w:tc>
        <w:tc>
          <w:tcPr>
            <w:tcW w:w="958"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Finansal Yatırımlar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192.089</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202.845</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-10.756</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-5%</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Ticari Alacaklar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33.033</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26.083</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6.950</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27%</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Maddi Duran Varlıklar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1.741.232</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1.102.314</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638.918</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58%</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Maddi Olmayan Duran Varlıklar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1.162.973</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663.874</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499.099</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75%</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Ertelenmiş Vergi Varlığı</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111.516</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97.796</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13.720</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14%</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TOPLAM DURAN VARLIKLAR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5.515.549</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4.252.344</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1.263.205</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30%</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TOPLAM VARLIKLAR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13.693.203</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11.240.591</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2.452.612</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22%</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KAYNAKLAR</w:t>
            </w:r>
          </w:p>
        </w:tc>
        <w:tc>
          <w:tcPr>
            <w:tcW w:w="999"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rPr>
                <w:sz w:val="20"/>
                <w:szCs w:val="20"/>
              </w:rPr>
            </w:pPr>
          </w:p>
        </w:tc>
        <w:tc>
          <w:tcPr>
            <w:tcW w:w="958"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KISA VADELİ YÜKÜMLÜLÜKLER</w:t>
            </w:r>
          </w:p>
        </w:tc>
        <w:tc>
          <w:tcPr>
            <w:tcW w:w="999"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rPr>
                <w:sz w:val="20"/>
                <w:szCs w:val="20"/>
              </w:rPr>
            </w:pPr>
          </w:p>
        </w:tc>
        <w:tc>
          <w:tcPr>
            <w:tcW w:w="958"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Kısa Vadeli Borçlanmalar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1.701.390</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1.740.974</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-39.584</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İhraç Edilmiş Borçlanma Araçları</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21.570</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136.713</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-115.143</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-84%</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Banka Kredileri</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88.508</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71.071</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17.437</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25%</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İlişkili Taraflara Ticari Borçlar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1.726</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363</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1.363</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375%</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Türev Araçlar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41.263</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339</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40.924</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12072%</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TOPLAM KISA VADELİ YÜKÜMLÜLÜKLER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2.887.079</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2.831.079</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56.000</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UZUN VADELİ YÜKÜMLÜLÜKLER</w:t>
            </w:r>
          </w:p>
        </w:tc>
        <w:tc>
          <w:tcPr>
            <w:tcW w:w="999"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rPr>
                <w:sz w:val="20"/>
                <w:szCs w:val="20"/>
              </w:rPr>
            </w:pPr>
          </w:p>
        </w:tc>
        <w:tc>
          <w:tcPr>
            <w:tcW w:w="958"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Uzun Vadeli Borçlanmalar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1.061.045</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596.455</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464.590</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78%</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Banka Kredileri</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896.923</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407.133</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489.790</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120%</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Ertelenmiş Vergi Yükümlülüğü</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274.575</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128.885</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145.690</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113%</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TOPLAM UZUN VADELİ YÜKÜMLÜLÜKLER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1.427.887</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778.172</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649.715</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83%</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TOPLAM YÜKÜMLÜLÜKLER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4.314.966</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3.609.251</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705.715</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20%</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ÖZKAYNAKLAR</w:t>
            </w:r>
          </w:p>
        </w:tc>
        <w:tc>
          <w:tcPr>
            <w:tcW w:w="999"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rPr>
                <w:sz w:val="20"/>
                <w:szCs w:val="20"/>
              </w:rPr>
            </w:pPr>
          </w:p>
        </w:tc>
        <w:tc>
          <w:tcPr>
            <w:tcW w:w="958"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 </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lastRenderedPageBreak/>
              <w:t>Ana Ortaklığa Ait Özkaynaklar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8.439.989</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7.136.609</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1.303.380</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18%</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Ödenmiş Sermaye</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2.616.938</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2.616.938</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0</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0%</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Net Dönem Karı veya Zararı</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1.390.240</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616.789</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773.451</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125%</w:t>
            </w:r>
          </w:p>
        </w:tc>
      </w:tr>
      <w:tr w:rsidR="004879E9" w:rsidRPr="009611A2" w:rsidTr="004879E9">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TOPLAM ÖZKAYNAKLAR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9.378.237</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7.631.340</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1.746.897</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23%</w:t>
            </w:r>
          </w:p>
        </w:tc>
      </w:tr>
      <w:tr w:rsidR="004879E9" w:rsidRPr="009611A2" w:rsidTr="004879E9">
        <w:trPr>
          <w:trHeight w:val="315"/>
        </w:trPr>
        <w:tc>
          <w:tcPr>
            <w:tcW w:w="1654" w:type="pct"/>
            <w:tcBorders>
              <w:top w:val="nil"/>
              <w:left w:val="single" w:sz="4" w:space="0" w:color="auto"/>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firstLine="709"/>
              <w:jc w:val="center"/>
              <w:rPr>
                <w:b/>
                <w:sz w:val="20"/>
                <w:szCs w:val="20"/>
              </w:rPr>
            </w:pPr>
            <w:r w:rsidRPr="009611A2">
              <w:rPr>
                <w:b/>
                <w:sz w:val="20"/>
                <w:szCs w:val="20"/>
              </w:rPr>
              <w:t>TOPLAM KAYNAKLAR</w:t>
            </w:r>
          </w:p>
        </w:tc>
        <w:tc>
          <w:tcPr>
            <w:tcW w:w="999"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rPr>
                <w:sz w:val="20"/>
                <w:szCs w:val="20"/>
              </w:rPr>
            </w:pPr>
            <w:r w:rsidRPr="009611A2">
              <w:rPr>
                <w:sz w:val="20"/>
                <w:szCs w:val="20"/>
              </w:rPr>
              <w:t>13.693.203</w:t>
            </w:r>
          </w:p>
        </w:tc>
        <w:tc>
          <w:tcPr>
            <w:tcW w:w="958" w:type="pct"/>
            <w:tcBorders>
              <w:top w:val="nil"/>
              <w:left w:val="nil"/>
              <w:bottom w:val="single" w:sz="4" w:space="0" w:color="auto"/>
              <w:right w:val="single" w:sz="4" w:space="0" w:color="auto"/>
            </w:tcBorders>
            <w:shd w:val="clear" w:color="auto" w:fill="auto"/>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11.240.591</w:t>
            </w:r>
          </w:p>
        </w:tc>
        <w:tc>
          <w:tcPr>
            <w:tcW w:w="7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2.452.612</w:t>
            </w:r>
          </w:p>
        </w:tc>
        <w:tc>
          <w:tcPr>
            <w:tcW w:w="644" w:type="pct"/>
            <w:tcBorders>
              <w:top w:val="nil"/>
              <w:left w:val="nil"/>
              <w:bottom w:val="single" w:sz="4" w:space="0" w:color="auto"/>
              <w:right w:val="single" w:sz="4" w:space="0" w:color="auto"/>
            </w:tcBorders>
            <w:shd w:val="clear" w:color="auto" w:fill="auto"/>
            <w:noWrap/>
            <w:vAlign w:val="center"/>
            <w:hideMark/>
          </w:tcPr>
          <w:p w:rsidR="004879E9" w:rsidRPr="009611A2" w:rsidRDefault="004879E9" w:rsidP="009611A2">
            <w:pPr>
              <w:spacing w:after="0" w:line="240" w:lineRule="auto"/>
              <w:ind w:left="-567" w:firstLine="709"/>
              <w:jc w:val="center"/>
              <w:rPr>
                <w:sz w:val="20"/>
                <w:szCs w:val="20"/>
              </w:rPr>
            </w:pPr>
            <w:r w:rsidRPr="009611A2">
              <w:rPr>
                <w:sz w:val="20"/>
                <w:szCs w:val="20"/>
              </w:rPr>
              <w:t>22%</w:t>
            </w:r>
          </w:p>
        </w:tc>
      </w:tr>
    </w:tbl>
    <w:p w:rsidR="00D275BF" w:rsidRDefault="00D275BF" w:rsidP="00D275BF"/>
    <w:p w:rsidR="00E018C9" w:rsidRDefault="00E018C9" w:rsidP="00D275BF">
      <w:pPr>
        <w:jc w:val="center"/>
      </w:pPr>
      <w:r>
        <w:t>Tablo 3</w:t>
      </w:r>
      <w:r w:rsidRPr="00E018C9">
        <w:t xml:space="preserve">: </w:t>
      </w:r>
      <w:r>
        <w:t xml:space="preserve">Hacı Ömer Sabancı </w:t>
      </w:r>
      <w:r w:rsidRPr="009611A2">
        <w:t>Holding A.Ş.</w:t>
      </w:r>
      <w:r>
        <w:t xml:space="preserve"> Bilanço Rakamları</w:t>
      </w:r>
    </w:p>
    <w:tbl>
      <w:tblPr>
        <w:tblW w:w="5000" w:type="pct"/>
        <w:tblCellMar>
          <w:left w:w="70" w:type="dxa"/>
          <w:right w:w="70" w:type="dxa"/>
        </w:tblCellMar>
        <w:tblLook w:val="04A0" w:firstRow="1" w:lastRow="0" w:firstColumn="1" w:lastColumn="0" w:noHBand="0" w:noVBand="1"/>
      </w:tblPr>
      <w:tblGrid>
        <w:gridCol w:w="3051"/>
        <w:gridCol w:w="1555"/>
        <w:gridCol w:w="1702"/>
        <w:gridCol w:w="1701"/>
        <w:gridCol w:w="1203"/>
      </w:tblGrid>
      <w:tr w:rsidR="004879E9" w:rsidRPr="0045661D" w:rsidTr="004879E9">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879E9" w:rsidRPr="0045661D" w:rsidRDefault="004879E9" w:rsidP="0045661D">
            <w:pPr>
              <w:spacing w:after="0" w:line="240" w:lineRule="auto"/>
              <w:ind w:firstLine="709"/>
              <w:jc w:val="center"/>
              <w:rPr>
                <w:b/>
                <w:sz w:val="20"/>
                <w:szCs w:val="20"/>
              </w:rPr>
            </w:pPr>
            <w:r w:rsidRPr="0045661D">
              <w:rPr>
                <w:b/>
                <w:sz w:val="20"/>
                <w:szCs w:val="20"/>
              </w:rPr>
              <w:t>HACI ÖMER SABANCI HOLDİNG A.Ş.</w:t>
            </w:r>
          </w:p>
        </w:tc>
      </w:tr>
      <w:tr w:rsidR="004879E9" w:rsidRPr="0045661D" w:rsidTr="004879E9">
        <w:trPr>
          <w:trHeight w:val="315"/>
        </w:trPr>
        <w:tc>
          <w:tcPr>
            <w:tcW w:w="16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firstLine="709"/>
              <w:jc w:val="center"/>
              <w:rPr>
                <w:sz w:val="20"/>
                <w:szCs w:val="20"/>
              </w:rPr>
            </w:pPr>
            <w:r w:rsidRPr="0045661D">
              <w:rPr>
                <w:sz w:val="20"/>
                <w:szCs w:val="20"/>
              </w:rPr>
              <w:t> </w:t>
            </w:r>
          </w:p>
        </w:tc>
        <w:tc>
          <w:tcPr>
            <w:tcW w:w="1768" w:type="pct"/>
            <w:gridSpan w:val="2"/>
            <w:tcBorders>
              <w:top w:val="single" w:sz="4" w:space="0" w:color="auto"/>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DÖNEM</w:t>
            </w:r>
          </w:p>
        </w:tc>
        <w:tc>
          <w:tcPr>
            <w:tcW w:w="1576" w:type="pct"/>
            <w:gridSpan w:val="2"/>
            <w:tcBorders>
              <w:top w:val="single" w:sz="4" w:space="0" w:color="auto"/>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DEĞİŞİM</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sz w:val="20"/>
                <w:szCs w:val="20"/>
              </w:rPr>
            </w:pPr>
            <w:r w:rsidRPr="0045661D">
              <w:rPr>
                <w:b/>
                <w:sz w:val="20"/>
                <w:szCs w:val="20"/>
              </w:rPr>
              <w:t>HESAP ADI</w:t>
            </w:r>
            <w:r w:rsidRPr="0045661D">
              <w:rPr>
                <w:sz w:val="20"/>
                <w:szCs w:val="20"/>
              </w:rPr>
              <w:t> </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2020</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2019</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TUTAR</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ORAN</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DÖNEN VARLIKLAR</w:t>
            </w:r>
          </w:p>
        </w:tc>
        <w:tc>
          <w:tcPr>
            <w:tcW w:w="84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Nakit ve Nakit Benzerleri</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19.828.118</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22.447.203</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-2.619.085</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-12%</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Finansal Yatırımlar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35.799.568</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28.210.697</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7.588.871</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27%</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Vadeli Mevduatlar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16.348</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0</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16.348</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Türev Araçlar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8.463.520</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3.137.883</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5.325.637</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170%</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DÖNEN VARLIKLAR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269.491.344</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206.970.925</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62.520.419</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30%</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DURAN VARLIKLAR</w:t>
            </w:r>
          </w:p>
        </w:tc>
        <w:tc>
          <w:tcPr>
            <w:tcW w:w="84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Finansal Yatırımlar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73.524.030</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62.169.382</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11.354.648</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18%</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Ticari Alacaklar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566</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17</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549</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3229%</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Finans Sektörü Faaliyetlerinden Alacaklar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116.970.690</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100.134.183</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16.836.507</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17%</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Türev Araçlar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14.455.362</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13.490.781</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964.581</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Maddi Duran Varlıklar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7.959.621</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7.295.877</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663.744</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9%</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Ertelenmiş Vergi Varlığı</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719.275</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353.154</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366.121</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104%</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DURAN VARLIKLAR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231.767.030</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199.376.954</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32.390.076</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16%</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VARLIKLAR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501.258.374</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406.347.879</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94.910.495</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23%</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KAYNAKLAR</w:t>
            </w:r>
          </w:p>
        </w:tc>
        <w:tc>
          <w:tcPr>
            <w:tcW w:w="84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KISA VADELİ YÜKÜMLÜLÜKLER</w:t>
            </w:r>
          </w:p>
        </w:tc>
        <w:tc>
          <w:tcPr>
            <w:tcW w:w="84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Kısa Vadeli Borçlanmalar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13.713.590</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10.342.807</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3.370.783</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33%</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Banka Kredileri</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13.713.590</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10.342.807</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3.370.783</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33%</w:t>
            </w:r>
          </w:p>
        </w:tc>
      </w:tr>
      <w:tr w:rsidR="004879E9" w:rsidRPr="0045661D" w:rsidTr="004879E9">
        <w:trPr>
          <w:trHeight w:val="630"/>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Uzun Vadeli Borçlanmaların Kısa Vadeli Kısımları</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20.387.488</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15.312.189</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5.075.299</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33%</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lastRenderedPageBreak/>
              <w:t>Banka Kredileri</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20.053.065</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15.005.313</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5.047.752</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34%</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Ticari Borçlar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5.023.674</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3.995.658</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1.028.016</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26%</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Finans Sektörü Faaliyetlerinden Borçlar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292.375.186</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237.928.489</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54.446.697</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23%</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Türev Araçlar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5.795.534</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1.790.818</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4.004.716</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224%</w:t>
            </w:r>
          </w:p>
        </w:tc>
      </w:tr>
      <w:tr w:rsidR="004879E9" w:rsidRPr="0045661D" w:rsidTr="004879E9">
        <w:trPr>
          <w:trHeight w:val="630"/>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KISA VADELİ YÜKÜMLÜLÜKLER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351.320.596</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278.812.101</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72.508.495</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26%</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UZUN VADELİ YÜKÜMLÜLÜKLER</w:t>
            </w:r>
          </w:p>
        </w:tc>
        <w:tc>
          <w:tcPr>
            <w:tcW w:w="84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Uzun Vadeli Borçlanmalar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40.094.326</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34.414.620</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5.679.706</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17%</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Banka Kredileri</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38.494.543</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32.736.661</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5.757.882</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18%</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Finans Sektörü Faaliyetlerinden Borçlar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18.066.046</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14.463.018</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3.603.028</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25%</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Türev Araçlar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9.108.320</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7.271.155</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1.837.165</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25%</w:t>
            </w:r>
          </w:p>
        </w:tc>
      </w:tr>
      <w:tr w:rsidR="004879E9" w:rsidRPr="0045661D" w:rsidTr="004879E9">
        <w:trPr>
          <w:trHeight w:val="94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Ertelenmiş Gelirler (Müşteri Sözleşmelerinden Doğan Yükümlülüklerin Dışında Kalanlar)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137.410</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83.279</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54.131</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65%</w:t>
            </w:r>
          </w:p>
        </w:tc>
      </w:tr>
      <w:tr w:rsidR="004879E9" w:rsidRPr="0045661D" w:rsidTr="004879E9">
        <w:trPr>
          <w:trHeight w:val="630"/>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UZUN VADELİ YÜKÜMLÜLÜKLER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73.154.884</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61.058.335</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12.096.549</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20%</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YÜKÜMLÜLÜKLER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424.475.480</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339.870.436</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84.605.044</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25%</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ÖZKAYNAKLAR</w:t>
            </w:r>
          </w:p>
        </w:tc>
        <w:tc>
          <w:tcPr>
            <w:tcW w:w="84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4"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Ana Ortaklığa Ait Özkaynaklar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37.996.499</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33.258.317</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4.738.182</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14%</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Ödenmiş Sermaye</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2.040.404</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2.040.404</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0</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0%</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Net Dönem Karı veya Zararı</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4.767.573</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3.779.736</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987.837</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26%</w:t>
            </w:r>
          </w:p>
        </w:tc>
      </w:tr>
      <w:tr w:rsidR="004879E9" w:rsidRPr="0045661D" w:rsidTr="004879E9">
        <w:trPr>
          <w:trHeight w:val="315"/>
        </w:trPr>
        <w:tc>
          <w:tcPr>
            <w:tcW w:w="1656"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ÖZKAYNAKLAR</w:t>
            </w:r>
          </w:p>
        </w:tc>
        <w:tc>
          <w:tcPr>
            <w:tcW w:w="84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76.782.894</w:t>
            </w:r>
          </w:p>
        </w:tc>
        <w:tc>
          <w:tcPr>
            <w:tcW w:w="924"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66.477.443</w:t>
            </w:r>
          </w:p>
        </w:tc>
        <w:tc>
          <w:tcPr>
            <w:tcW w:w="92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10.305.451</w:t>
            </w:r>
          </w:p>
        </w:tc>
        <w:tc>
          <w:tcPr>
            <w:tcW w:w="6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16%</w:t>
            </w:r>
          </w:p>
        </w:tc>
      </w:tr>
    </w:tbl>
    <w:p w:rsidR="004879E9" w:rsidRDefault="004879E9" w:rsidP="004879E9"/>
    <w:p w:rsidR="00E018C9" w:rsidRDefault="00E018C9" w:rsidP="00E018C9">
      <w:pPr>
        <w:jc w:val="center"/>
      </w:pPr>
      <w:r>
        <w:t>Tablo 4</w:t>
      </w:r>
      <w:r w:rsidRPr="00E018C9">
        <w:t xml:space="preserve">: </w:t>
      </w:r>
      <w:r w:rsidR="0045661D">
        <w:t xml:space="preserve">Kardemir Karabük Demir Çelik Sanayi ve Ticaret </w:t>
      </w:r>
      <w:r w:rsidRPr="009611A2">
        <w:t>A.Ş.</w:t>
      </w:r>
      <w:r>
        <w:t xml:space="preserve"> Bilanço Rakamları</w:t>
      </w:r>
    </w:p>
    <w:tbl>
      <w:tblPr>
        <w:tblW w:w="5000" w:type="pct"/>
        <w:tblCellMar>
          <w:left w:w="70" w:type="dxa"/>
          <w:right w:w="70" w:type="dxa"/>
        </w:tblCellMar>
        <w:tblLook w:val="04A0" w:firstRow="1" w:lastRow="0" w:firstColumn="1" w:lastColumn="0" w:noHBand="0" w:noVBand="1"/>
      </w:tblPr>
      <w:tblGrid>
        <w:gridCol w:w="2673"/>
        <w:gridCol w:w="1894"/>
        <w:gridCol w:w="1756"/>
        <w:gridCol w:w="1688"/>
        <w:gridCol w:w="1201"/>
      </w:tblGrid>
      <w:tr w:rsidR="004879E9" w:rsidRPr="0045661D" w:rsidTr="004879E9">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879E9" w:rsidRPr="0045661D" w:rsidRDefault="004879E9" w:rsidP="0045661D">
            <w:pPr>
              <w:spacing w:after="0" w:line="240" w:lineRule="auto"/>
              <w:ind w:firstLine="709"/>
              <w:jc w:val="center"/>
              <w:rPr>
                <w:b/>
                <w:sz w:val="20"/>
                <w:szCs w:val="20"/>
              </w:rPr>
            </w:pPr>
            <w:r w:rsidRPr="0045661D">
              <w:rPr>
                <w:b/>
                <w:sz w:val="20"/>
                <w:szCs w:val="20"/>
              </w:rPr>
              <w:t>KARDEMİR KARABÜK DEMİR ÇELİK SANAYİ VE TİCARET A.Ş.</w:t>
            </w:r>
          </w:p>
        </w:tc>
      </w:tr>
      <w:tr w:rsidR="004879E9" w:rsidRPr="0045661D" w:rsidTr="004879E9">
        <w:trPr>
          <w:trHeight w:val="315"/>
        </w:trPr>
        <w:tc>
          <w:tcPr>
            <w:tcW w:w="1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sz w:val="20"/>
                <w:szCs w:val="20"/>
              </w:rPr>
            </w:pPr>
            <w:r w:rsidRPr="0045661D">
              <w:rPr>
                <w:sz w:val="20"/>
                <w:szCs w:val="20"/>
              </w:rPr>
              <w:t> </w:t>
            </w:r>
          </w:p>
        </w:tc>
        <w:tc>
          <w:tcPr>
            <w:tcW w:w="1981" w:type="pct"/>
            <w:gridSpan w:val="2"/>
            <w:tcBorders>
              <w:top w:val="single" w:sz="4" w:space="0" w:color="auto"/>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DÖNEM</w:t>
            </w:r>
          </w:p>
        </w:tc>
        <w:tc>
          <w:tcPr>
            <w:tcW w:w="1568" w:type="pct"/>
            <w:gridSpan w:val="2"/>
            <w:tcBorders>
              <w:top w:val="single" w:sz="4" w:space="0" w:color="auto"/>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DEĞİŞİM</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sz w:val="20"/>
                <w:szCs w:val="20"/>
              </w:rPr>
            </w:pPr>
            <w:r w:rsidRPr="0045661D">
              <w:rPr>
                <w:b/>
                <w:sz w:val="20"/>
                <w:szCs w:val="20"/>
              </w:rPr>
              <w:t>HESAP ADI</w:t>
            </w:r>
            <w:r w:rsidRPr="0045661D">
              <w:rPr>
                <w:sz w:val="20"/>
                <w:szCs w:val="20"/>
              </w:rPr>
              <w:t> </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31.12.2020</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31.12.2019</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TUTAR</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b/>
                <w:sz w:val="20"/>
                <w:szCs w:val="20"/>
              </w:rPr>
            </w:pPr>
            <w:r w:rsidRPr="0045661D">
              <w:rPr>
                <w:b/>
                <w:sz w:val="20"/>
                <w:szCs w:val="20"/>
              </w:rPr>
              <w:t>ORAN</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DÖNEN VARLIKLAR</w:t>
            </w:r>
          </w:p>
        </w:tc>
        <w:tc>
          <w:tcPr>
            <w:tcW w:w="1028"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Nakit ve Nakit Benzerleri</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1.440.224.611</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214.925.986</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1.225.298.625</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570%</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Finansal Yatırımlar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2.912</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39.349.751</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-39.346.839</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-100%</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Ticari Alacaklar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1.280.971.039</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963.888.795</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317.082.244</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33%</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Türev Araçlar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13.226.171</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-13.226.171</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-100%</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lastRenderedPageBreak/>
              <w:t>Diğer Dönen Varlıklar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23.273.597</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11.698.643</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11.574.954</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99%</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DÖNEN VARLIKLAR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4.931.643.736</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3.332.149.150</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1.599.494.586</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48%</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DURAN VARLIKLAR</w:t>
            </w:r>
          </w:p>
        </w:tc>
        <w:tc>
          <w:tcPr>
            <w:tcW w:w="1028"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Finansal Yatırımlar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485.969</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485.969</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0</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0%</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Diğer Alacaklar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3.430.226</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277.896</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3.152.330</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1134%</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Maddi Duran Varlıklar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5.819.238.652</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5.605.754.579</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213.484.073</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Maddi Olmayan Duran Varlıklar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31.646.996</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32.042.651</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-395.655</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DURAN VARLIKLAR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5.887.884.803</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5.693.929.674</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193.955.129</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VARLIKLAR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10.819.528.539</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9.026.078.824</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1.793.449.715</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20%</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KAYNAKLAR</w:t>
            </w:r>
          </w:p>
        </w:tc>
        <w:tc>
          <w:tcPr>
            <w:tcW w:w="1028"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KISA VADELİ YÜKÜMLÜLÜKLER</w:t>
            </w:r>
          </w:p>
        </w:tc>
        <w:tc>
          <w:tcPr>
            <w:tcW w:w="1028"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Kısa Vadeli Borçlanmalar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271.157.387</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11.907.322</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259.250.065</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2177%</w:t>
            </w:r>
          </w:p>
        </w:tc>
      </w:tr>
      <w:tr w:rsidR="004879E9" w:rsidRPr="0045661D" w:rsidTr="004879E9">
        <w:trPr>
          <w:trHeight w:val="630"/>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İlişkili Olmayan Taraflardan Kısa Vadeli Borçlanmalar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271.157.387</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11.907.322</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259.250.065</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2177%</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Banka Kredileri</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269.916.367</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10.782.326</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259.134.041</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2403%</w:t>
            </w:r>
          </w:p>
        </w:tc>
      </w:tr>
      <w:tr w:rsidR="004879E9" w:rsidRPr="0045661D" w:rsidTr="004879E9">
        <w:trPr>
          <w:trHeight w:val="630"/>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Uzun Vadeli Borçlanmaların Kısa Vadeli Kısımları</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444.620.759</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416.163.327</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28.457.432</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Ticari Borçlar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2.518.507.322</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2.259.398.988</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259.108.334</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11%</w:t>
            </w:r>
          </w:p>
        </w:tc>
      </w:tr>
      <w:tr w:rsidR="004879E9" w:rsidRPr="0045661D" w:rsidTr="004879E9">
        <w:trPr>
          <w:trHeight w:val="630"/>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KISA VADELİ YÜKÜMLÜLÜKLER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4.818.318.091</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3.153.937.096</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1.664.380.995</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53%</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UZUN VADELİ YÜKÜMLÜLÜKLER</w:t>
            </w:r>
          </w:p>
        </w:tc>
        <w:tc>
          <w:tcPr>
            <w:tcW w:w="1028"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Uzun Vadeli Borçlanmalar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1.533.267.857</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1.528.333.955</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4.933.902</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0%</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Banka Kredileri</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1.532.637.212</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1.526.920.933</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5.716.279</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0%</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Ticari Borçlar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79.269.519</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58.525.280</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20.744.239</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35%</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İlişkili Olmayan Taraflara Ticari Borçlar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79.269.519</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58.525.280</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20.744.239</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35%</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Ertelenmiş Vergi Yükümlülüğü</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170.884.887</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175.719.686</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-4.834.799</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w:t>
            </w:r>
          </w:p>
        </w:tc>
      </w:tr>
      <w:tr w:rsidR="004879E9" w:rsidRPr="0045661D" w:rsidTr="004879E9">
        <w:trPr>
          <w:trHeight w:val="630"/>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UZUN VADELİ YÜKÜMLÜLÜKLER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2.098.116.567</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1.991.259.013</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106.857.554</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 xml:space="preserve">TOPLAM </w:t>
            </w:r>
            <w:r w:rsidRPr="0045661D">
              <w:rPr>
                <w:b/>
                <w:sz w:val="20"/>
                <w:szCs w:val="20"/>
              </w:rPr>
              <w:lastRenderedPageBreak/>
              <w:t>YÜKÜMLÜLÜKLER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lastRenderedPageBreak/>
              <w:t>6.916.434.658</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5.145.196.109</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1.771.238.549</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34%</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lastRenderedPageBreak/>
              <w:t>ÖZKAYNAKLAR</w:t>
            </w:r>
          </w:p>
        </w:tc>
        <w:tc>
          <w:tcPr>
            <w:tcW w:w="1028"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53"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 </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Ana Ortaklığa Ait Özkaynaklar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3.903.094.137</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3.880.882.922</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22.211.215</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Ödenmiş Sermaye</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1.140.000.000</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1.140.000.000</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0</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0%</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Net Dönem Karı veya Zararı</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60.651.819</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80.645.302</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-19.993.483</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-25%</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ÖZKAYNAKLAR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3.903.093.881</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3.880.882.715</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22.211.166</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w:t>
            </w:r>
          </w:p>
        </w:tc>
      </w:tr>
      <w:tr w:rsidR="004879E9" w:rsidRPr="0045661D" w:rsidTr="004879E9">
        <w:trPr>
          <w:trHeight w:val="315"/>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firstLine="709"/>
              <w:jc w:val="center"/>
              <w:rPr>
                <w:b/>
                <w:sz w:val="20"/>
                <w:szCs w:val="20"/>
              </w:rPr>
            </w:pPr>
            <w:r w:rsidRPr="0045661D">
              <w:rPr>
                <w:b/>
                <w:sz w:val="20"/>
                <w:szCs w:val="20"/>
              </w:rPr>
              <w:t>TOPLAM KAYNAKLAR</w:t>
            </w:r>
          </w:p>
        </w:tc>
        <w:tc>
          <w:tcPr>
            <w:tcW w:w="1028"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10.819.528.539</w:t>
            </w:r>
          </w:p>
        </w:tc>
        <w:tc>
          <w:tcPr>
            <w:tcW w:w="953" w:type="pct"/>
            <w:tcBorders>
              <w:top w:val="nil"/>
              <w:left w:val="nil"/>
              <w:bottom w:val="single" w:sz="4" w:space="0" w:color="auto"/>
              <w:right w:val="single" w:sz="4" w:space="0" w:color="auto"/>
            </w:tcBorders>
            <w:shd w:val="clear" w:color="auto" w:fill="auto"/>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9.026.078.824</w:t>
            </w:r>
          </w:p>
        </w:tc>
        <w:tc>
          <w:tcPr>
            <w:tcW w:w="916"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1.793.449.715</w:t>
            </w:r>
          </w:p>
        </w:tc>
        <w:tc>
          <w:tcPr>
            <w:tcW w:w="652" w:type="pct"/>
            <w:tcBorders>
              <w:top w:val="nil"/>
              <w:left w:val="nil"/>
              <w:bottom w:val="single" w:sz="4" w:space="0" w:color="auto"/>
              <w:right w:val="single" w:sz="4" w:space="0" w:color="auto"/>
            </w:tcBorders>
            <w:shd w:val="clear" w:color="auto" w:fill="auto"/>
            <w:noWrap/>
            <w:vAlign w:val="center"/>
            <w:hideMark/>
          </w:tcPr>
          <w:p w:rsidR="004879E9" w:rsidRPr="0045661D" w:rsidRDefault="004879E9" w:rsidP="0045661D">
            <w:pPr>
              <w:spacing w:after="0" w:line="240" w:lineRule="auto"/>
              <w:ind w:left="-567" w:firstLine="709"/>
              <w:jc w:val="center"/>
              <w:rPr>
                <w:sz w:val="20"/>
                <w:szCs w:val="20"/>
              </w:rPr>
            </w:pPr>
            <w:r w:rsidRPr="0045661D">
              <w:rPr>
                <w:sz w:val="20"/>
                <w:szCs w:val="20"/>
              </w:rPr>
              <w:t>20%</w:t>
            </w:r>
          </w:p>
        </w:tc>
      </w:tr>
    </w:tbl>
    <w:p w:rsidR="00D275BF" w:rsidRDefault="00D275BF" w:rsidP="00E018C9">
      <w:pPr>
        <w:jc w:val="center"/>
      </w:pPr>
    </w:p>
    <w:p w:rsidR="00E018C9" w:rsidRDefault="00E018C9" w:rsidP="00E018C9">
      <w:pPr>
        <w:jc w:val="center"/>
      </w:pPr>
      <w:r>
        <w:t>Tablo 5</w:t>
      </w:r>
      <w:r w:rsidRPr="00E018C9">
        <w:t xml:space="preserve">: </w:t>
      </w:r>
      <w:r w:rsidR="0045661D">
        <w:t xml:space="preserve">Koç </w:t>
      </w:r>
      <w:r w:rsidRPr="009611A2">
        <w:t>Holding A.Ş.</w:t>
      </w:r>
      <w:r>
        <w:t xml:space="preserve"> Bilanço Rakamları</w:t>
      </w:r>
    </w:p>
    <w:tbl>
      <w:tblPr>
        <w:tblW w:w="5000" w:type="pct"/>
        <w:tblCellMar>
          <w:left w:w="70" w:type="dxa"/>
          <w:right w:w="70" w:type="dxa"/>
        </w:tblCellMar>
        <w:tblLook w:val="04A0" w:firstRow="1" w:lastRow="0" w:firstColumn="1" w:lastColumn="0" w:noHBand="0" w:noVBand="1"/>
      </w:tblPr>
      <w:tblGrid>
        <w:gridCol w:w="2622"/>
        <w:gridCol w:w="1984"/>
        <w:gridCol w:w="1767"/>
        <w:gridCol w:w="1778"/>
        <w:gridCol w:w="1061"/>
      </w:tblGrid>
      <w:tr w:rsidR="00A97F13" w:rsidRPr="0045661D" w:rsidTr="00A9306E">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97F13" w:rsidRPr="0045661D" w:rsidRDefault="00A97F13" w:rsidP="0045661D">
            <w:pPr>
              <w:spacing w:after="0" w:line="240" w:lineRule="auto"/>
              <w:ind w:firstLine="709"/>
              <w:jc w:val="center"/>
              <w:rPr>
                <w:b/>
                <w:sz w:val="20"/>
                <w:szCs w:val="20"/>
              </w:rPr>
            </w:pPr>
            <w:r w:rsidRPr="0045661D">
              <w:rPr>
                <w:b/>
                <w:sz w:val="20"/>
                <w:szCs w:val="20"/>
              </w:rPr>
              <w:t>KOÇ HOLDİNG A.Ş.</w:t>
            </w:r>
          </w:p>
        </w:tc>
      </w:tr>
      <w:tr w:rsidR="00A97F13" w:rsidRPr="0045661D" w:rsidTr="00A9306E">
        <w:trPr>
          <w:trHeight w:val="315"/>
        </w:trPr>
        <w:tc>
          <w:tcPr>
            <w:tcW w:w="1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 </w:t>
            </w:r>
          </w:p>
        </w:tc>
        <w:tc>
          <w:tcPr>
            <w:tcW w:w="2036" w:type="pct"/>
            <w:gridSpan w:val="2"/>
            <w:tcBorders>
              <w:top w:val="single" w:sz="4" w:space="0" w:color="auto"/>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b/>
                <w:sz w:val="20"/>
                <w:szCs w:val="20"/>
              </w:rPr>
            </w:pPr>
            <w:r w:rsidRPr="0045661D">
              <w:rPr>
                <w:b/>
                <w:sz w:val="20"/>
                <w:szCs w:val="20"/>
              </w:rPr>
              <w:t>DÖNEM</w:t>
            </w:r>
          </w:p>
        </w:tc>
        <w:tc>
          <w:tcPr>
            <w:tcW w:w="1541" w:type="pct"/>
            <w:gridSpan w:val="2"/>
            <w:tcBorders>
              <w:top w:val="single" w:sz="4" w:space="0" w:color="auto"/>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b/>
                <w:sz w:val="20"/>
                <w:szCs w:val="20"/>
              </w:rPr>
            </w:pPr>
            <w:r w:rsidRPr="0045661D">
              <w:rPr>
                <w:b/>
                <w:sz w:val="20"/>
                <w:szCs w:val="20"/>
              </w:rPr>
              <w:t>DEĞİŞİM</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HESAP ADI </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b/>
                <w:sz w:val="20"/>
                <w:szCs w:val="20"/>
              </w:rPr>
            </w:pPr>
            <w:r w:rsidRPr="0045661D">
              <w:rPr>
                <w:b/>
                <w:sz w:val="20"/>
                <w:szCs w:val="20"/>
              </w:rPr>
              <w:t>31.12.2020</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b/>
                <w:sz w:val="20"/>
                <w:szCs w:val="20"/>
              </w:rPr>
            </w:pPr>
            <w:r w:rsidRPr="0045661D">
              <w:rPr>
                <w:b/>
                <w:sz w:val="20"/>
                <w:szCs w:val="20"/>
              </w:rPr>
              <w:t>31.12.2019</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b/>
                <w:sz w:val="20"/>
                <w:szCs w:val="20"/>
              </w:rPr>
            </w:pPr>
            <w:r w:rsidRPr="0045661D">
              <w:rPr>
                <w:b/>
                <w:sz w:val="20"/>
                <w:szCs w:val="20"/>
              </w:rPr>
              <w:t>TUTAR</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b/>
                <w:sz w:val="20"/>
                <w:szCs w:val="20"/>
              </w:rPr>
            </w:pPr>
            <w:r w:rsidRPr="0045661D">
              <w:rPr>
                <w:b/>
                <w:sz w:val="20"/>
                <w:szCs w:val="20"/>
              </w:rPr>
              <w:t>ORAN</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rPr>
                <w:b/>
                <w:sz w:val="20"/>
                <w:szCs w:val="20"/>
              </w:rPr>
            </w:pPr>
            <w:r w:rsidRPr="0045661D">
              <w:rPr>
                <w:b/>
                <w:sz w:val="20"/>
                <w:szCs w:val="20"/>
              </w:rPr>
              <w:t>DÖNEN VARLIKLAR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59"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Nakit ve Nakit Benzerleri</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60.360.801</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37.816.360</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22.544.441</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60%</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Finansal Yatırımlar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6.126.643</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0</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6.126.643</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Ticari Alacaklar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20.478.731</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19.272.813</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1.205.918</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w:t>
            </w:r>
          </w:p>
        </w:tc>
      </w:tr>
      <w:tr w:rsidR="00A97F13" w:rsidRPr="0045661D" w:rsidTr="00A9306E">
        <w:trPr>
          <w:trHeight w:val="630"/>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Finans Sektörü Faaliyetlerinden Alacaklar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157.462.310</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1.371.816</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156.090.494</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11378%</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Türev Araçlar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2.317.060</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401.156</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1.915.904</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478%</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Stoklar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18.651.844</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17.430.843</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1.221.001</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7%</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Diğer Dönen Varlıklar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24.809.568</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2.742.046</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22.067.522</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805%</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TOPLAM DÖNEN VARLIKLAR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341.574.474</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82.228.762</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259.345.712</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315%</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DURAN VARLIKLAR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59"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Finansal Yatırımlar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73.171.712</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1.579.942</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71.591.770</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4531%</w:t>
            </w:r>
          </w:p>
        </w:tc>
      </w:tr>
      <w:tr w:rsidR="00A97F13" w:rsidRPr="0045661D" w:rsidTr="00A9306E">
        <w:trPr>
          <w:trHeight w:val="630"/>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Finans Sektörü Faaliyetlerinden Alacaklar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137.770.791</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935.471</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136.835.320</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14627%</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Maddi Duran Varlıklar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38.520.817</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30.153.905</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8.366.912</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28%</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Maddi Olmayan Duran Varlıklar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12.932.015</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7.658.671</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5.273.344</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69%</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TOPLAM DURAN VARLIKLAR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288.526.070</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69.114.826</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219.411.244</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317%</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TOPLAM VARLIKLAR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630.100.544</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151.343.588</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478.756.956</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316%</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lastRenderedPageBreak/>
              <w:t>KAYNAKLAR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59"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r>
      <w:tr w:rsidR="00A97F13" w:rsidRPr="0045661D" w:rsidTr="00A9306E">
        <w:trPr>
          <w:trHeight w:val="630"/>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KISA VADELİ YÜKÜMLÜLÜKLER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59"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Kısa Vadeli Borçlanmalar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23.766.653</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13.641.034</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10.125.619</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74%</w:t>
            </w:r>
          </w:p>
        </w:tc>
      </w:tr>
      <w:tr w:rsidR="00A97F13" w:rsidRPr="0045661D" w:rsidTr="00A9306E">
        <w:trPr>
          <w:trHeight w:val="630"/>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Uzun Vadeli Borçlanmaların Kısa Vadeli Kısımları</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47.957.577</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7.644.733</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40.312.844</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527%</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Ticari Borçlar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29.039.594</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26.727.432</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2.312.162</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9%</w:t>
            </w:r>
          </w:p>
        </w:tc>
      </w:tr>
      <w:tr w:rsidR="00A97F13" w:rsidRPr="0045661D" w:rsidTr="00A9306E">
        <w:trPr>
          <w:trHeight w:val="630"/>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Finans Sektörü Faaliyetlerinden Borçlar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274.101.362</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0</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274.101.362</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Türev Araçlar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4.688.529</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124.311</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4.564.218</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3672%</w:t>
            </w:r>
          </w:p>
        </w:tc>
      </w:tr>
      <w:tr w:rsidR="00A97F13" w:rsidRPr="0045661D" w:rsidTr="00A9306E">
        <w:trPr>
          <w:trHeight w:val="630"/>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TOPLAM KISA VADELİ YÜKÜMLÜLÜKLER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414.492.964</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59.026.121</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355.466.843</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602%</w:t>
            </w:r>
          </w:p>
        </w:tc>
      </w:tr>
      <w:tr w:rsidR="00A97F13" w:rsidRPr="0045661D" w:rsidTr="00A9306E">
        <w:trPr>
          <w:trHeight w:val="630"/>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UZUN VADELİ YÜKÜMLÜLÜKLER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59"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Uzun Vadeli Borçlanmalar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110.083.014</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39.010.324</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71.072.690</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182%</w:t>
            </w:r>
          </w:p>
        </w:tc>
      </w:tr>
      <w:tr w:rsidR="00A97F13" w:rsidRPr="0045661D" w:rsidTr="00A9306E">
        <w:trPr>
          <w:trHeight w:val="630"/>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Finans Sektörü Faaliyetlerinden Borçlar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3.069.577</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0</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3.069.577</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Türev Araçlar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6.748.047</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142.587</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6.605.460</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4633%</w:t>
            </w:r>
          </w:p>
        </w:tc>
      </w:tr>
      <w:tr w:rsidR="00A97F13" w:rsidRPr="0045661D" w:rsidTr="00A9306E">
        <w:trPr>
          <w:trHeight w:val="630"/>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TOPLAM UZUN VADELİ YÜKÜMLÜLÜKLER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127.536.528</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42.665.432</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84.871.096</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199%</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TOPLAM YÜKÜMLÜLÜKLER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542.029.492</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101.691.553</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440.337.939</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433%</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ÖZKAYNAKLAR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59"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 </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Ana Ortaklığa Ait Özkaynaklar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46.342.139</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36.282.060</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10.060.079</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28%</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Ödenmiş Sermaye</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2.535.898</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2.535.898</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0</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0%</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Net Dönem Karı veya Zararı</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9.272.570</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4.391.159</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4.881.411</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111%</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TOPLAM ÖZKAYNAKLAR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88.071.052</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49.652.035</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38.419.017</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77%</w:t>
            </w:r>
          </w:p>
        </w:tc>
      </w:tr>
      <w:tr w:rsidR="00A97F13" w:rsidRPr="0045661D"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firstLine="709"/>
              <w:jc w:val="center"/>
              <w:rPr>
                <w:b/>
                <w:sz w:val="20"/>
                <w:szCs w:val="20"/>
              </w:rPr>
            </w:pPr>
            <w:r w:rsidRPr="0045661D">
              <w:rPr>
                <w:b/>
                <w:sz w:val="20"/>
                <w:szCs w:val="20"/>
              </w:rPr>
              <w:t>TOPLAM KAYNAKLAR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630.100.544</w:t>
            </w:r>
          </w:p>
        </w:tc>
        <w:tc>
          <w:tcPr>
            <w:tcW w:w="959" w:type="pct"/>
            <w:tcBorders>
              <w:top w:val="nil"/>
              <w:left w:val="nil"/>
              <w:bottom w:val="single" w:sz="4" w:space="0" w:color="auto"/>
              <w:right w:val="single" w:sz="4" w:space="0" w:color="auto"/>
            </w:tcBorders>
            <w:shd w:val="clear" w:color="auto" w:fill="auto"/>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151.343.588</w:t>
            </w:r>
          </w:p>
        </w:tc>
        <w:tc>
          <w:tcPr>
            <w:tcW w:w="965"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478.756.956</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45661D" w:rsidRDefault="00A97F13" w:rsidP="0045661D">
            <w:pPr>
              <w:spacing w:after="0" w:line="240" w:lineRule="auto"/>
              <w:ind w:left="-567" w:firstLine="709"/>
              <w:jc w:val="center"/>
              <w:rPr>
                <w:sz w:val="20"/>
                <w:szCs w:val="20"/>
              </w:rPr>
            </w:pPr>
            <w:r w:rsidRPr="0045661D">
              <w:rPr>
                <w:sz w:val="20"/>
                <w:szCs w:val="20"/>
              </w:rPr>
              <w:t>316%</w:t>
            </w:r>
          </w:p>
        </w:tc>
      </w:tr>
    </w:tbl>
    <w:p w:rsidR="00D275BF" w:rsidRDefault="00D275BF" w:rsidP="0045661D">
      <w:pPr>
        <w:jc w:val="center"/>
      </w:pPr>
    </w:p>
    <w:p w:rsidR="0045661D" w:rsidRDefault="0045661D" w:rsidP="0045661D">
      <w:pPr>
        <w:jc w:val="center"/>
      </w:pPr>
      <w:r>
        <w:t>Tablo 6</w:t>
      </w:r>
      <w:r w:rsidRPr="00E018C9">
        <w:t xml:space="preserve">: </w:t>
      </w:r>
      <w:r w:rsidRPr="0045661D">
        <w:t>Tav Havalimanları</w:t>
      </w:r>
      <w:r>
        <w:t xml:space="preserve"> </w:t>
      </w:r>
      <w:r w:rsidRPr="009611A2">
        <w:t>Holding A.Ş.</w:t>
      </w:r>
      <w:r>
        <w:t xml:space="preserve"> Bilanço Rakamları</w:t>
      </w:r>
    </w:p>
    <w:tbl>
      <w:tblPr>
        <w:tblW w:w="5000" w:type="pct"/>
        <w:tblCellMar>
          <w:left w:w="70" w:type="dxa"/>
          <w:right w:w="70" w:type="dxa"/>
        </w:tblCellMar>
        <w:tblLook w:val="04A0" w:firstRow="1" w:lastRow="0" w:firstColumn="1" w:lastColumn="0" w:noHBand="0" w:noVBand="1"/>
      </w:tblPr>
      <w:tblGrid>
        <w:gridCol w:w="2624"/>
        <w:gridCol w:w="1984"/>
        <w:gridCol w:w="1842"/>
        <w:gridCol w:w="1701"/>
        <w:gridCol w:w="1061"/>
      </w:tblGrid>
      <w:tr w:rsidR="00A97F13" w:rsidRPr="006B5E03" w:rsidTr="00A9306E">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97F13" w:rsidRPr="006B5E03" w:rsidRDefault="00A97F13" w:rsidP="006B5E03">
            <w:pPr>
              <w:spacing w:after="0" w:line="240" w:lineRule="auto"/>
              <w:ind w:firstLine="709"/>
              <w:jc w:val="center"/>
              <w:rPr>
                <w:b/>
                <w:sz w:val="20"/>
                <w:szCs w:val="20"/>
              </w:rPr>
            </w:pPr>
            <w:r w:rsidRPr="006B5E03">
              <w:rPr>
                <w:b/>
                <w:sz w:val="20"/>
                <w:szCs w:val="20"/>
              </w:rPr>
              <w:t>TAV HAVALİMANLARI HOLDİNG A.Ş.</w:t>
            </w:r>
          </w:p>
        </w:tc>
      </w:tr>
      <w:tr w:rsidR="00A97F13" w:rsidRPr="006B5E03" w:rsidTr="00A9306E">
        <w:trPr>
          <w:trHeight w:val="315"/>
        </w:trPr>
        <w:tc>
          <w:tcPr>
            <w:tcW w:w="1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 </w:t>
            </w:r>
          </w:p>
        </w:tc>
        <w:tc>
          <w:tcPr>
            <w:tcW w:w="2077" w:type="pct"/>
            <w:gridSpan w:val="2"/>
            <w:tcBorders>
              <w:top w:val="single" w:sz="4" w:space="0" w:color="auto"/>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DÖNEM</w:t>
            </w:r>
          </w:p>
        </w:tc>
        <w:tc>
          <w:tcPr>
            <w:tcW w:w="1499" w:type="pct"/>
            <w:gridSpan w:val="2"/>
            <w:tcBorders>
              <w:top w:val="single" w:sz="4" w:space="0" w:color="auto"/>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DEĞİŞİM</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HESAP ADI </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31.12.2020</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31.12.2019</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TUTAR</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ORAN</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DÖNEN VARLIKLAR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 </w:t>
            </w:r>
          </w:p>
        </w:tc>
        <w:tc>
          <w:tcPr>
            <w:tcW w:w="1000"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 </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 </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 </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lastRenderedPageBreak/>
              <w:t>Nakit ve Nakit Benzerleri</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5.443.456</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3.882.681</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1.560.775</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40%</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DÖNEN VARLIKLAR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9.770.948</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7.169.674</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2.601.274</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36%</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Ticari Alacaklar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281.263</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330.794</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-49.531</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-15%</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Maddi Duran Varlıklar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1.642.771</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1.368.222</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274.549</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20%</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Maddi Olmayan Duran Varlıklar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15.474.535</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11.526.381</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3.948.154</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34%</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Ertelenmiş Vergi Varlığı</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290.198</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176.971</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113.227</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64%</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DURAN VARLIKLAR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22.253.260</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18.387.169</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3.866.091</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21%</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VARLIKLAR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32.024.208</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25.556.843</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6.467.365</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25%</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KAYNAKLAR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1000"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KISA VADELİ YÜKÜMLÜLÜKLER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1000"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Kısa Vadeli Borçlanmalar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5.294.844</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2.564.644</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2.730.200</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106%</w:t>
            </w:r>
          </w:p>
        </w:tc>
      </w:tr>
      <w:tr w:rsidR="00A97F13" w:rsidRPr="006B5E03" w:rsidTr="00A9306E">
        <w:trPr>
          <w:trHeight w:val="630"/>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Uzun Vadeli Borçlanmaların Kısa Vadeli Kısımları</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1.125.545</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948.177</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177.368</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19%</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Diğer Borçlar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4.381.939</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1.196.083</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3.185.856</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266%</w:t>
            </w:r>
          </w:p>
        </w:tc>
      </w:tr>
      <w:tr w:rsidR="00A97F13" w:rsidRPr="006B5E03" w:rsidTr="00A9306E">
        <w:trPr>
          <w:trHeight w:val="630"/>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KISA VADELİ YÜKÜMLÜLÜKLER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11.549.353</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5.994.319</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5.555.034</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93%</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UZUN VADELİ YÜKÜMLÜLÜKLER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1000"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Uzun Vadeli Borçlanmalar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5.584.889</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4.212.464</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1.372.425</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33%</w:t>
            </w:r>
          </w:p>
        </w:tc>
      </w:tr>
      <w:tr w:rsidR="00A97F13" w:rsidRPr="006B5E03" w:rsidTr="00A9306E">
        <w:trPr>
          <w:trHeight w:val="630"/>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UZUN VADELİ YÜKÜMLÜLÜKLER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12.055.157</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10.853.155</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1.202.002</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11%</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YÜKÜMLÜLÜKLER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23.604.510</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16.847.474</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6.757.036</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40%</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ÖZKAYNAKLAR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1000"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Yabancı Para Çevrim Farkları</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6.558.916</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3.899.004</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2.659.912</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68%</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Net Dönem Karı veya Zararı</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-2.283.284</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2.368.497</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-4.651.781</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-196%</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ÖZKAYNAKLAR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8.419.698</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8.709.369</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-289.671</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w:t>
            </w:r>
          </w:p>
        </w:tc>
      </w:tr>
      <w:tr w:rsidR="00A97F13" w:rsidRPr="006B5E03"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KAYNAKLAR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32.024.208</w:t>
            </w:r>
          </w:p>
        </w:tc>
        <w:tc>
          <w:tcPr>
            <w:tcW w:w="1000"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25.556.843</w:t>
            </w:r>
          </w:p>
        </w:tc>
        <w:tc>
          <w:tcPr>
            <w:tcW w:w="923"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6.467.365</w:t>
            </w:r>
          </w:p>
        </w:tc>
        <w:tc>
          <w:tcPr>
            <w:tcW w:w="576"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25%</w:t>
            </w:r>
          </w:p>
        </w:tc>
      </w:tr>
    </w:tbl>
    <w:p w:rsidR="000F0C1A" w:rsidRDefault="000F0C1A" w:rsidP="006B5E03">
      <w:pPr>
        <w:jc w:val="center"/>
      </w:pPr>
    </w:p>
    <w:p w:rsidR="006B5E03" w:rsidRDefault="006B5E03" w:rsidP="006B5E03">
      <w:pPr>
        <w:jc w:val="center"/>
      </w:pPr>
      <w:r>
        <w:lastRenderedPageBreak/>
        <w:t>Tablo 7</w:t>
      </w:r>
      <w:r w:rsidRPr="00E018C9">
        <w:t xml:space="preserve">: </w:t>
      </w:r>
      <w:r>
        <w:t>Tekfen</w:t>
      </w:r>
      <w:r w:rsidRPr="009611A2">
        <w:t xml:space="preserve"> Holding A.Ş.</w:t>
      </w:r>
      <w:r>
        <w:t xml:space="preserve"> Bilanço Rakamları</w:t>
      </w:r>
    </w:p>
    <w:tbl>
      <w:tblPr>
        <w:tblW w:w="5000" w:type="pct"/>
        <w:tblCellMar>
          <w:left w:w="70" w:type="dxa"/>
          <w:right w:w="70" w:type="dxa"/>
        </w:tblCellMar>
        <w:tblLook w:val="04A0" w:firstRow="1" w:lastRow="0" w:firstColumn="1" w:lastColumn="0" w:noHBand="0" w:noVBand="1"/>
      </w:tblPr>
      <w:tblGrid>
        <w:gridCol w:w="2622"/>
        <w:gridCol w:w="1984"/>
        <w:gridCol w:w="1844"/>
        <w:gridCol w:w="1717"/>
        <w:gridCol w:w="1045"/>
      </w:tblGrid>
      <w:tr w:rsidR="00A97F13" w:rsidRPr="006B5E03" w:rsidTr="00A9306E">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97F13" w:rsidRPr="006B5E03" w:rsidRDefault="00A97F13" w:rsidP="006B5E03">
            <w:pPr>
              <w:spacing w:after="0" w:line="240" w:lineRule="auto"/>
              <w:ind w:firstLine="709"/>
              <w:jc w:val="center"/>
              <w:rPr>
                <w:b/>
                <w:sz w:val="20"/>
                <w:szCs w:val="20"/>
              </w:rPr>
            </w:pPr>
            <w:r w:rsidRPr="006B5E03">
              <w:rPr>
                <w:b/>
                <w:sz w:val="20"/>
                <w:szCs w:val="20"/>
              </w:rPr>
              <w:t>TEKFEN HOLDİNG A.Ş.</w:t>
            </w:r>
          </w:p>
        </w:tc>
      </w:tr>
      <w:tr w:rsidR="00A97F13" w:rsidRPr="006B5E03" w:rsidTr="00A9306E">
        <w:trPr>
          <w:trHeight w:val="315"/>
        </w:trPr>
        <w:tc>
          <w:tcPr>
            <w:tcW w:w="1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 </w:t>
            </w:r>
          </w:p>
        </w:tc>
        <w:tc>
          <w:tcPr>
            <w:tcW w:w="2078" w:type="pct"/>
            <w:gridSpan w:val="2"/>
            <w:tcBorders>
              <w:top w:val="single" w:sz="4" w:space="0" w:color="auto"/>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DÖNEM</w:t>
            </w:r>
          </w:p>
        </w:tc>
        <w:tc>
          <w:tcPr>
            <w:tcW w:w="1499" w:type="pct"/>
            <w:gridSpan w:val="2"/>
            <w:tcBorders>
              <w:top w:val="single" w:sz="4" w:space="0" w:color="auto"/>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DEĞİŞİM</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 HESAP ADI</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2020</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2019</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TUTAR</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ORAN</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DÖNEN VARLIKLAR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 </w:t>
            </w:r>
          </w:p>
        </w:tc>
        <w:tc>
          <w:tcPr>
            <w:tcW w:w="1001"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 </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 </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b/>
                <w:sz w:val="20"/>
                <w:szCs w:val="20"/>
              </w:rPr>
            </w:pPr>
            <w:r w:rsidRPr="006B5E03">
              <w:rPr>
                <w:b/>
                <w:sz w:val="20"/>
                <w:szCs w:val="20"/>
              </w:rPr>
              <w:t> </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Nakit ve Nakit Benzerleri</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3.259.116</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4.094.625</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-835.509</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-20%</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Finansal Yatırımlar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82.118</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12.782</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69.336</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542%</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Ticari Alacaklar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2.038.851</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1.953.336</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85.515</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Diğer Alacaklar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81.642</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62.273</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19.369</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31%</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Türev Araçlar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9.046</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211</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8.835</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4187%</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Stoklar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2.033.545</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1.448.934</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584.611</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40%</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DÖNEN VARLIKLAR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9.013.197</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9.217.274</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-204.077</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DURAN VARLIKLAR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1001"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Finansal Yatırımlar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1.414.920</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393.868</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1.021.052</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259%</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Maddi Duran Varlıklar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2.576.975</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2.135.206</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441.769</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21%</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Maddi Olmayan Duran Varlıklar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136.095</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106.459</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29.636</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28%</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Ertelenmiş Vergi Varlığı</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111.413</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155.943</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-44.530</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-29%</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DURAN VARLIKLAR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4.903.836</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3.445.874</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1.457.962</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42%</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VARLIKLAR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13.917.033</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12.663.148</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1.253.885</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10%</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KAYNAKLAR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1001"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KISA VADELİ YÜKÜMLÜLÜKLER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1001"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Kısa Vadeli Borçlanmalar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1.875.394</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407.897</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1.467.497</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360%</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Ticari Borçlar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3.418.087</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3.330.480</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87.607</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Kısa Vadeli Karşılıklar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596.524</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357.635</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238.889</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67%</w:t>
            </w:r>
          </w:p>
        </w:tc>
      </w:tr>
      <w:tr w:rsidR="00A97F13" w:rsidRPr="006B5E03" w:rsidTr="00A9306E">
        <w:trPr>
          <w:trHeight w:val="630"/>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KISA VADELİ YÜKÜMLÜLÜKLER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7.474.512</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6.645.129</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829.383</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12%</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UZUN VADELİ YÜKÜMLÜLÜKLER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1001"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Uzun Vadeli Borçlanmalar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272.613</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215.458</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57.155</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27%</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 xml:space="preserve">Ertelenmiş Vergi </w:t>
            </w:r>
            <w:r w:rsidRPr="006B5E03">
              <w:rPr>
                <w:b/>
                <w:sz w:val="20"/>
                <w:szCs w:val="20"/>
              </w:rPr>
              <w:lastRenderedPageBreak/>
              <w:t>Yükümlülüğü</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lastRenderedPageBreak/>
              <w:t>101.374</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76.179</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25.195</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33%</w:t>
            </w:r>
          </w:p>
        </w:tc>
      </w:tr>
      <w:tr w:rsidR="00A97F13" w:rsidRPr="006B5E03" w:rsidTr="00A9306E">
        <w:trPr>
          <w:trHeight w:val="630"/>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lastRenderedPageBreak/>
              <w:t>TOPLAM UZUN VADELİ YÜKÜMLÜLÜKLER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631.621</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521.149</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110.472</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21%</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YÜKÜMLÜLÜKLER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8.106.133</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7.166.278</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939.855</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13%</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ÖZKAYNAKLAR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1001"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 </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Ana Ortaklığa Ait Özkaynaklar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5.730.139</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5.428.680</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301.459</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Net Dönem Karı veya Zararı</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-60.125</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1.420.750</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-1.480.875</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-104%</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ÖZKAYNAKLAR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5.810.900</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5.496.870</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314.030</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6%</w:t>
            </w:r>
          </w:p>
        </w:tc>
      </w:tr>
      <w:tr w:rsidR="00A97F13" w:rsidRPr="006B5E03" w:rsidTr="00A9306E">
        <w:trPr>
          <w:trHeight w:val="315"/>
        </w:trPr>
        <w:tc>
          <w:tcPr>
            <w:tcW w:w="1423" w:type="pct"/>
            <w:tcBorders>
              <w:top w:val="nil"/>
              <w:left w:val="single" w:sz="4" w:space="0" w:color="auto"/>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firstLine="709"/>
              <w:jc w:val="center"/>
              <w:rPr>
                <w:b/>
                <w:sz w:val="20"/>
                <w:szCs w:val="20"/>
              </w:rPr>
            </w:pPr>
            <w:r w:rsidRPr="006B5E03">
              <w:rPr>
                <w:b/>
                <w:sz w:val="20"/>
                <w:szCs w:val="20"/>
              </w:rPr>
              <w:t>TOPLAM KAYNAKLAR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13.917.033</w:t>
            </w:r>
          </w:p>
        </w:tc>
        <w:tc>
          <w:tcPr>
            <w:tcW w:w="1001" w:type="pct"/>
            <w:tcBorders>
              <w:top w:val="nil"/>
              <w:left w:val="nil"/>
              <w:bottom w:val="single" w:sz="4" w:space="0" w:color="auto"/>
              <w:right w:val="single" w:sz="4" w:space="0" w:color="auto"/>
            </w:tcBorders>
            <w:shd w:val="clear" w:color="auto" w:fill="auto"/>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12.663.148</w:t>
            </w:r>
          </w:p>
        </w:tc>
        <w:tc>
          <w:tcPr>
            <w:tcW w:w="932"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1.253.885</w:t>
            </w:r>
          </w:p>
        </w:tc>
        <w:tc>
          <w:tcPr>
            <w:tcW w:w="567" w:type="pct"/>
            <w:tcBorders>
              <w:top w:val="nil"/>
              <w:left w:val="nil"/>
              <w:bottom w:val="single" w:sz="4" w:space="0" w:color="auto"/>
              <w:right w:val="single" w:sz="4" w:space="0" w:color="auto"/>
            </w:tcBorders>
            <w:shd w:val="clear" w:color="auto" w:fill="auto"/>
            <w:noWrap/>
            <w:vAlign w:val="center"/>
            <w:hideMark/>
          </w:tcPr>
          <w:p w:rsidR="00A97F13" w:rsidRPr="006B5E03" w:rsidRDefault="00A97F13" w:rsidP="006B5E03">
            <w:pPr>
              <w:spacing w:after="0" w:line="240" w:lineRule="auto"/>
              <w:ind w:left="-567" w:firstLine="709"/>
              <w:jc w:val="center"/>
              <w:rPr>
                <w:sz w:val="20"/>
                <w:szCs w:val="20"/>
              </w:rPr>
            </w:pPr>
            <w:r w:rsidRPr="006B5E03">
              <w:rPr>
                <w:sz w:val="20"/>
                <w:szCs w:val="20"/>
              </w:rPr>
              <w:t>10%</w:t>
            </w:r>
          </w:p>
        </w:tc>
      </w:tr>
    </w:tbl>
    <w:p w:rsidR="000F0C1A" w:rsidRDefault="000F0C1A" w:rsidP="006B5E03">
      <w:pPr>
        <w:jc w:val="center"/>
      </w:pPr>
    </w:p>
    <w:p w:rsidR="006B5E03" w:rsidRDefault="006B5E03" w:rsidP="006B5E03">
      <w:pPr>
        <w:jc w:val="center"/>
      </w:pPr>
      <w:r>
        <w:t>Tablo 8</w:t>
      </w:r>
      <w:r w:rsidRPr="00E018C9">
        <w:t xml:space="preserve">: </w:t>
      </w:r>
      <w:r>
        <w:t xml:space="preserve">Türkiye Şişe Ve Cam Fabrikaları </w:t>
      </w:r>
      <w:r w:rsidRPr="009611A2">
        <w:t>A.Ş.</w:t>
      </w:r>
      <w:r>
        <w:t xml:space="preserve"> Bilanço Rakamları</w:t>
      </w:r>
    </w:p>
    <w:tbl>
      <w:tblPr>
        <w:tblW w:w="5000" w:type="pct"/>
        <w:tblCellMar>
          <w:left w:w="70" w:type="dxa"/>
          <w:right w:w="70" w:type="dxa"/>
        </w:tblCellMar>
        <w:tblLook w:val="04A0" w:firstRow="1" w:lastRow="0" w:firstColumn="1" w:lastColumn="0" w:noHBand="0" w:noVBand="1"/>
      </w:tblPr>
      <w:tblGrid>
        <w:gridCol w:w="2624"/>
        <w:gridCol w:w="1984"/>
        <w:gridCol w:w="1842"/>
        <w:gridCol w:w="1701"/>
        <w:gridCol w:w="1061"/>
      </w:tblGrid>
      <w:tr w:rsidR="00A97F13" w:rsidRPr="007B1742" w:rsidTr="00A9306E">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97F13" w:rsidRPr="007B1742" w:rsidRDefault="00A97F13" w:rsidP="007B1742">
            <w:pPr>
              <w:spacing w:after="0" w:line="240" w:lineRule="auto"/>
              <w:ind w:firstLine="709"/>
              <w:jc w:val="center"/>
              <w:rPr>
                <w:b/>
                <w:sz w:val="20"/>
                <w:szCs w:val="20"/>
              </w:rPr>
            </w:pPr>
            <w:r w:rsidRPr="007B1742">
              <w:rPr>
                <w:b/>
                <w:sz w:val="20"/>
                <w:szCs w:val="20"/>
              </w:rPr>
              <w:t>TÜRKİYE ŞİŞE VE CAM FABRİKALARI A.Ş.</w:t>
            </w:r>
          </w:p>
        </w:tc>
      </w:tr>
      <w:tr w:rsidR="00A97F13" w:rsidRPr="007B1742" w:rsidTr="00A9306E">
        <w:trPr>
          <w:trHeight w:val="315"/>
        </w:trPr>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firstLine="709"/>
              <w:jc w:val="center"/>
              <w:rPr>
                <w:b/>
                <w:sz w:val="20"/>
                <w:szCs w:val="20"/>
              </w:rPr>
            </w:pPr>
            <w:r w:rsidRPr="007B1742">
              <w:rPr>
                <w:b/>
                <w:sz w:val="20"/>
                <w:szCs w:val="20"/>
              </w:rPr>
              <w:t> </w:t>
            </w:r>
          </w:p>
        </w:tc>
        <w:tc>
          <w:tcPr>
            <w:tcW w:w="2077" w:type="pct"/>
            <w:gridSpan w:val="2"/>
            <w:tcBorders>
              <w:top w:val="single" w:sz="4" w:space="0" w:color="auto"/>
              <w:left w:val="nil"/>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left="-567" w:firstLine="709"/>
              <w:jc w:val="center"/>
              <w:rPr>
                <w:b/>
                <w:sz w:val="20"/>
                <w:szCs w:val="20"/>
              </w:rPr>
            </w:pPr>
            <w:r w:rsidRPr="007B1742">
              <w:rPr>
                <w:b/>
                <w:sz w:val="20"/>
                <w:szCs w:val="20"/>
              </w:rPr>
              <w:t>DÖNEM</w:t>
            </w:r>
          </w:p>
        </w:tc>
        <w:tc>
          <w:tcPr>
            <w:tcW w:w="1499" w:type="pct"/>
            <w:gridSpan w:val="2"/>
            <w:tcBorders>
              <w:top w:val="single" w:sz="4" w:space="0" w:color="auto"/>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b/>
                <w:sz w:val="20"/>
                <w:szCs w:val="20"/>
              </w:rPr>
            </w:pPr>
            <w:r w:rsidRPr="007B1742">
              <w:rPr>
                <w:b/>
                <w:sz w:val="20"/>
                <w:szCs w:val="20"/>
              </w:rPr>
              <w:t>DEĞİŞİM</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firstLine="709"/>
              <w:jc w:val="center"/>
              <w:rPr>
                <w:b/>
                <w:sz w:val="20"/>
                <w:szCs w:val="20"/>
              </w:rPr>
            </w:pPr>
            <w:r w:rsidRPr="007B1742">
              <w:rPr>
                <w:b/>
                <w:sz w:val="20"/>
                <w:szCs w:val="20"/>
              </w:rPr>
              <w:t>HESAP ADI</w:t>
            </w:r>
          </w:p>
        </w:tc>
        <w:tc>
          <w:tcPr>
            <w:tcW w:w="1077" w:type="pct"/>
            <w:tcBorders>
              <w:top w:val="nil"/>
              <w:left w:val="nil"/>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left="-567" w:firstLine="709"/>
              <w:jc w:val="center"/>
              <w:rPr>
                <w:b/>
                <w:sz w:val="20"/>
                <w:szCs w:val="20"/>
              </w:rPr>
            </w:pPr>
            <w:r w:rsidRPr="007B1742">
              <w:rPr>
                <w:b/>
                <w:sz w:val="20"/>
                <w:szCs w:val="20"/>
              </w:rPr>
              <w:t>31.12.2020</w:t>
            </w:r>
          </w:p>
        </w:tc>
        <w:tc>
          <w:tcPr>
            <w:tcW w:w="1000" w:type="pct"/>
            <w:tcBorders>
              <w:top w:val="nil"/>
              <w:left w:val="nil"/>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left="-567" w:firstLine="709"/>
              <w:jc w:val="center"/>
              <w:rPr>
                <w:b/>
                <w:sz w:val="20"/>
                <w:szCs w:val="20"/>
              </w:rPr>
            </w:pPr>
            <w:r w:rsidRPr="007B1742">
              <w:rPr>
                <w:b/>
                <w:sz w:val="20"/>
                <w:szCs w:val="20"/>
              </w:rPr>
              <w:t>31.12.2019</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b/>
                <w:sz w:val="20"/>
                <w:szCs w:val="20"/>
              </w:rPr>
            </w:pPr>
            <w:r w:rsidRPr="007B1742">
              <w:rPr>
                <w:b/>
                <w:sz w:val="20"/>
                <w:szCs w:val="20"/>
              </w:rPr>
              <w:t>TUTAR</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b/>
                <w:sz w:val="20"/>
                <w:szCs w:val="20"/>
              </w:rPr>
            </w:pPr>
            <w:r w:rsidRPr="007B1742">
              <w:rPr>
                <w:b/>
                <w:sz w:val="20"/>
                <w:szCs w:val="20"/>
              </w:rPr>
              <w:t>ORAN</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firstLine="709"/>
              <w:jc w:val="center"/>
              <w:rPr>
                <w:b/>
                <w:sz w:val="20"/>
                <w:szCs w:val="20"/>
              </w:rPr>
            </w:pPr>
            <w:r w:rsidRPr="007B1742">
              <w:rPr>
                <w:b/>
                <w:sz w:val="20"/>
                <w:szCs w:val="20"/>
              </w:rPr>
              <w:t>DÖNEN VARLIKLAR</w:t>
            </w:r>
          </w:p>
        </w:tc>
        <w:tc>
          <w:tcPr>
            <w:tcW w:w="1077" w:type="pct"/>
            <w:tcBorders>
              <w:top w:val="nil"/>
              <w:left w:val="nil"/>
              <w:bottom w:val="single" w:sz="4" w:space="0" w:color="auto"/>
              <w:right w:val="single" w:sz="4" w:space="0" w:color="auto"/>
            </w:tcBorders>
            <w:shd w:val="clear" w:color="auto" w:fill="auto"/>
            <w:noWrap/>
            <w:vAlign w:val="center"/>
            <w:hideMark/>
          </w:tcPr>
          <w:p w:rsidR="00A97F13" w:rsidRPr="007B1742" w:rsidRDefault="00A97F13" w:rsidP="007B1742">
            <w:pPr>
              <w:spacing w:after="0" w:line="240" w:lineRule="auto"/>
              <w:ind w:left="-567" w:firstLine="709"/>
              <w:jc w:val="center"/>
              <w:rPr>
                <w:b/>
                <w:sz w:val="20"/>
                <w:szCs w:val="20"/>
              </w:rPr>
            </w:pPr>
            <w:r w:rsidRPr="007B1742">
              <w:rPr>
                <w:b/>
                <w:sz w:val="20"/>
                <w:szCs w:val="20"/>
              </w:rPr>
              <w:t> </w:t>
            </w:r>
          </w:p>
        </w:tc>
        <w:tc>
          <w:tcPr>
            <w:tcW w:w="1000" w:type="pct"/>
            <w:tcBorders>
              <w:top w:val="nil"/>
              <w:left w:val="nil"/>
              <w:bottom w:val="single" w:sz="4" w:space="0" w:color="auto"/>
              <w:right w:val="single" w:sz="4" w:space="0" w:color="auto"/>
            </w:tcBorders>
            <w:shd w:val="clear" w:color="auto" w:fill="auto"/>
            <w:noWrap/>
            <w:vAlign w:val="center"/>
            <w:hideMark/>
          </w:tcPr>
          <w:p w:rsidR="00A97F13" w:rsidRPr="007B1742" w:rsidRDefault="00A97F13" w:rsidP="007B1742">
            <w:pPr>
              <w:spacing w:after="0" w:line="240" w:lineRule="auto"/>
              <w:ind w:left="-567" w:firstLine="709"/>
              <w:jc w:val="center"/>
              <w:rPr>
                <w:b/>
                <w:sz w:val="20"/>
                <w:szCs w:val="20"/>
              </w:rPr>
            </w:pPr>
            <w:r w:rsidRPr="007B1742">
              <w:rPr>
                <w:b/>
                <w:sz w:val="20"/>
                <w:szCs w:val="20"/>
              </w:rPr>
              <w:t> </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b/>
                <w:sz w:val="20"/>
                <w:szCs w:val="20"/>
              </w:rPr>
            </w:pPr>
            <w:r w:rsidRPr="007B1742">
              <w:rPr>
                <w:b/>
                <w:sz w:val="20"/>
                <w:szCs w:val="20"/>
              </w:rPr>
              <w:t> </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b/>
                <w:sz w:val="20"/>
                <w:szCs w:val="20"/>
              </w:rPr>
            </w:pPr>
            <w:r w:rsidRPr="007B1742">
              <w:rPr>
                <w:b/>
                <w:sz w:val="20"/>
                <w:szCs w:val="20"/>
              </w:rPr>
              <w:t> </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firstLine="709"/>
              <w:jc w:val="center"/>
              <w:rPr>
                <w:b/>
                <w:sz w:val="20"/>
                <w:szCs w:val="20"/>
              </w:rPr>
            </w:pPr>
            <w:r w:rsidRPr="007B1742">
              <w:rPr>
                <w:b/>
                <w:sz w:val="20"/>
                <w:szCs w:val="20"/>
              </w:rPr>
              <w:t>Nakit ve Nakit Benzerleri</w:t>
            </w:r>
          </w:p>
        </w:tc>
        <w:tc>
          <w:tcPr>
            <w:tcW w:w="1077" w:type="pct"/>
            <w:tcBorders>
              <w:top w:val="nil"/>
              <w:left w:val="nil"/>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left="-567" w:firstLine="709"/>
              <w:jc w:val="center"/>
              <w:rPr>
                <w:sz w:val="20"/>
                <w:szCs w:val="20"/>
              </w:rPr>
            </w:pPr>
            <w:r w:rsidRPr="007B1742">
              <w:rPr>
                <w:sz w:val="20"/>
                <w:szCs w:val="20"/>
              </w:rPr>
              <w:t>9.354.964</w:t>
            </w:r>
          </w:p>
        </w:tc>
        <w:tc>
          <w:tcPr>
            <w:tcW w:w="1000" w:type="pct"/>
            <w:tcBorders>
              <w:top w:val="nil"/>
              <w:left w:val="nil"/>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left="-567" w:firstLine="709"/>
              <w:jc w:val="center"/>
              <w:rPr>
                <w:sz w:val="20"/>
                <w:szCs w:val="20"/>
              </w:rPr>
            </w:pPr>
            <w:r w:rsidRPr="007B1742">
              <w:rPr>
                <w:sz w:val="20"/>
                <w:szCs w:val="20"/>
              </w:rPr>
              <w:t>8.368.913</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986.051</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12%</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firstLine="709"/>
              <w:jc w:val="center"/>
              <w:rPr>
                <w:b/>
                <w:sz w:val="20"/>
                <w:szCs w:val="20"/>
              </w:rPr>
            </w:pPr>
            <w:r w:rsidRPr="007B1742">
              <w:rPr>
                <w:b/>
                <w:sz w:val="20"/>
                <w:szCs w:val="20"/>
              </w:rPr>
              <w:t>Finansal Yatırımlar</w:t>
            </w:r>
          </w:p>
        </w:tc>
        <w:tc>
          <w:tcPr>
            <w:tcW w:w="1077" w:type="pct"/>
            <w:tcBorders>
              <w:top w:val="nil"/>
              <w:left w:val="nil"/>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left="-567" w:firstLine="709"/>
              <w:jc w:val="center"/>
              <w:rPr>
                <w:sz w:val="20"/>
                <w:szCs w:val="20"/>
              </w:rPr>
            </w:pPr>
            <w:r w:rsidRPr="007B1742">
              <w:rPr>
                <w:sz w:val="20"/>
                <w:szCs w:val="20"/>
              </w:rPr>
              <w:t>2.159.846</w:t>
            </w:r>
          </w:p>
        </w:tc>
        <w:tc>
          <w:tcPr>
            <w:tcW w:w="1000" w:type="pct"/>
            <w:tcBorders>
              <w:top w:val="nil"/>
              <w:left w:val="nil"/>
              <w:bottom w:val="single" w:sz="4" w:space="0" w:color="auto"/>
              <w:right w:val="single" w:sz="4" w:space="0" w:color="auto"/>
            </w:tcBorders>
            <w:shd w:val="clear" w:color="auto" w:fill="auto"/>
            <w:vAlign w:val="center"/>
            <w:hideMark/>
          </w:tcPr>
          <w:p w:rsidR="00A97F13" w:rsidRPr="007B1742" w:rsidRDefault="00A97F13" w:rsidP="007B1742">
            <w:pPr>
              <w:spacing w:after="0" w:line="240" w:lineRule="auto"/>
              <w:ind w:left="-567" w:firstLine="709"/>
              <w:jc w:val="center"/>
              <w:rPr>
                <w:sz w:val="20"/>
                <w:szCs w:val="20"/>
              </w:rPr>
            </w:pPr>
            <w:r w:rsidRPr="007B1742">
              <w:rPr>
                <w:sz w:val="20"/>
                <w:szCs w:val="20"/>
              </w:rPr>
              <w:t>426.120</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1.733.726</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407%</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Ticari Alacaklar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4.352.606</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3.572.022</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780.584</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22%</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Türev Araçlar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4.941</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25.764</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-20.823</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-81%</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TOPLAM DÖNEN VARLIKLAR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21.216.994</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17.241.254</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3.975.740</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23%</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DURAN VARLIKLAR</w:t>
            </w:r>
          </w:p>
        </w:tc>
        <w:tc>
          <w:tcPr>
            <w:tcW w:w="1077"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1000"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Finansal Yatırımlar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1.716.184</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2.537.234</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-821.050</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-32%</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Diğer Alacaklar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94.003</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12.409</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81.594</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658%</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Maddi Duran Varlıklar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16.240.518</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14.684.667</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1.555.851</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11%</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Maddi Olmayan Duran Varlıklar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908.154</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630.387</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277.767</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44%</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TOPLAM DURAN VARLIKLAR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23.011.042</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21.509.584</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1.501.458</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7%</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TOPLAM VARLIKLAR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44.228.036</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38.750.838</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5.477.198</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14%</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KAYNAKLAR</w:t>
            </w:r>
          </w:p>
        </w:tc>
        <w:tc>
          <w:tcPr>
            <w:tcW w:w="1077"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1000"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r>
      <w:tr w:rsidR="00A97F13" w:rsidRPr="007B1742" w:rsidTr="00A9306E">
        <w:trPr>
          <w:trHeight w:val="630"/>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lastRenderedPageBreak/>
              <w:t>KISA VADELİ YÜKÜMLÜLÜKLER</w:t>
            </w:r>
          </w:p>
        </w:tc>
        <w:tc>
          <w:tcPr>
            <w:tcW w:w="1077"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1000"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Kısa Vadeli Borçlanmalar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2.251.342</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2.634.647</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-383.305</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-15%</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Türev Araçlar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53.762</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23.587</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30.175</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128%</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Kısa Vadeli Karşılıklar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248.634</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155.830</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92.804</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60%</w:t>
            </w:r>
          </w:p>
        </w:tc>
      </w:tr>
      <w:tr w:rsidR="00A97F13" w:rsidRPr="007B1742" w:rsidTr="00A9306E">
        <w:trPr>
          <w:trHeight w:val="630"/>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TOPLAM KISA VADELİ YÜKÜMLÜLÜKLER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8.238.478</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8.191.171</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47.307</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w:t>
            </w:r>
          </w:p>
        </w:tc>
      </w:tr>
      <w:tr w:rsidR="00A97F13" w:rsidRPr="007B1742" w:rsidTr="00A9306E">
        <w:trPr>
          <w:trHeight w:val="630"/>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UZUN VADELİ YÜKÜMLÜLÜKLER</w:t>
            </w:r>
          </w:p>
        </w:tc>
        <w:tc>
          <w:tcPr>
            <w:tcW w:w="1077"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1000"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Uzun Vadeli Borçlanmalar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12.491.577</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10.594.795</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1.896.782</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18%</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Uzun Vadeli Karşılıklar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614.167</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451.185</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162.982</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36%</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Ertelenmiş Vergi Yükümlülüğü</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209.453</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196.946</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12.507</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6%</w:t>
            </w:r>
          </w:p>
        </w:tc>
      </w:tr>
      <w:tr w:rsidR="00A97F13" w:rsidRPr="007B1742" w:rsidTr="00A9306E">
        <w:trPr>
          <w:trHeight w:val="630"/>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TOPLAM UZUN VADELİ YÜKÜMLÜLÜKLER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13.498.325</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11.426.282</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2.072.043</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18%</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TOPLAM YÜKÜMLÜLÜKLER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21.736.803</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19.617.453</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2.119.350</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11%</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ÖZKAYNAKLAR</w:t>
            </w:r>
          </w:p>
        </w:tc>
        <w:tc>
          <w:tcPr>
            <w:tcW w:w="1077"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1000"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 </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Ana Ortaklığa Ait Özkaynaklar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22.194.395</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14.622.505</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7.571.890</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52%</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Ödenmiş Sermaye</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3.063.214</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2.250.000</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813.214</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36%</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Sermaye Düzeltme Farkları</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320.075</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181.426</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138.649</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76%</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Net Dönem Karı veya Zararı</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2.138.037</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1.904.534</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233.503</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12%</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TOPLAM ÖZKAYNAKLAR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22.491.233</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19.133.385</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3.357.848</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18%</w:t>
            </w:r>
          </w:p>
        </w:tc>
      </w:tr>
      <w:tr w:rsidR="00A97F13" w:rsidRPr="007B1742" w:rsidTr="00A9306E">
        <w:trPr>
          <w:trHeight w:val="315"/>
        </w:trPr>
        <w:tc>
          <w:tcPr>
            <w:tcW w:w="1424" w:type="pct"/>
            <w:tcBorders>
              <w:top w:val="nil"/>
              <w:left w:val="single" w:sz="4" w:space="0" w:color="auto"/>
              <w:bottom w:val="single" w:sz="4" w:space="0" w:color="auto"/>
              <w:right w:val="single" w:sz="4" w:space="0" w:color="auto"/>
            </w:tcBorders>
            <w:shd w:val="clear" w:color="auto" w:fill="auto"/>
            <w:hideMark/>
          </w:tcPr>
          <w:p w:rsidR="00A97F13" w:rsidRPr="007B1742" w:rsidRDefault="00A97F13" w:rsidP="007B1742">
            <w:pPr>
              <w:spacing w:after="0" w:line="240" w:lineRule="auto"/>
              <w:ind w:firstLine="709"/>
              <w:jc w:val="center"/>
              <w:rPr>
                <w:b/>
                <w:sz w:val="20"/>
                <w:szCs w:val="20"/>
              </w:rPr>
            </w:pPr>
            <w:r w:rsidRPr="007B1742">
              <w:rPr>
                <w:b/>
                <w:sz w:val="20"/>
                <w:szCs w:val="20"/>
              </w:rPr>
              <w:t>TOPLAM KAYNAKLAR</w:t>
            </w:r>
          </w:p>
        </w:tc>
        <w:tc>
          <w:tcPr>
            <w:tcW w:w="1077"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44.228.036</w:t>
            </w:r>
          </w:p>
        </w:tc>
        <w:tc>
          <w:tcPr>
            <w:tcW w:w="1000" w:type="pct"/>
            <w:tcBorders>
              <w:top w:val="nil"/>
              <w:left w:val="nil"/>
              <w:bottom w:val="single" w:sz="4" w:space="0" w:color="auto"/>
              <w:right w:val="single" w:sz="4" w:space="0" w:color="auto"/>
            </w:tcBorders>
            <w:shd w:val="clear" w:color="auto" w:fill="auto"/>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38.750.838</w:t>
            </w:r>
          </w:p>
        </w:tc>
        <w:tc>
          <w:tcPr>
            <w:tcW w:w="923"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5.477.198</w:t>
            </w:r>
          </w:p>
        </w:tc>
        <w:tc>
          <w:tcPr>
            <w:tcW w:w="576" w:type="pct"/>
            <w:tcBorders>
              <w:top w:val="nil"/>
              <w:left w:val="nil"/>
              <w:bottom w:val="single" w:sz="4" w:space="0" w:color="auto"/>
              <w:right w:val="single" w:sz="4" w:space="0" w:color="auto"/>
            </w:tcBorders>
            <w:shd w:val="clear" w:color="auto" w:fill="auto"/>
            <w:noWrap/>
            <w:vAlign w:val="bottom"/>
            <w:hideMark/>
          </w:tcPr>
          <w:p w:rsidR="00A97F13" w:rsidRPr="007B1742" w:rsidRDefault="00A97F13" w:rsidP="007B1742">
            <w:pPr>
              <w:spacing w:after="0" w:line="240" w:lineRule="auto"/>
              <w:ind w:left="-567" w:firstLine="709"/>
              <w:jc w:val="center"/>
              <w:rPr>
                <w:sz w:val="20"/>
                <w:szCs w:val="20"/>
              </w:rPr>
            </w:pPr>
            <w:r w:rsidRPr="007B1742">
              <w:rPr>
                <w:sz w:val="20"/>
                <w:szCs w:val="20"/>
              </w:rPr>
              <w:t>14%</w:t>
            </w:r>
          </w:p>
        </w:tc>
      </w:tr>
    </w:tbl>
    <w:p w:rsidR="000F0C1A" w:rsidRDefault="000F0C1A" w:rsidP="00A97F13">
      <w:pPr>
        <w:rPr>
          <w:sz w:val="24"/>
          <w:szCs w:val="24"/>
        </w:rPr>
      </w:pPr>
    </w:p>
    <w:p w:rsidR="00A97F13" w:rsidRDefault="0088529B" w:rsidP="00A97F13">
      <w:pPr>
        <w:rPr>
          <w:sz w:val="24"/>
          <w:szCs w:val="24"/>
        </w:rPr>
      </w:pPr>
      <w:r>
        <w:rPr>
          <w:sz w:val="24"/>
          <w:szCs w:val="24"/>
        </w:rPr>
        <w:t>4</w:t>
      </w:r>
      <w:r w:rsidR="00D275BF">
        <w:rPr>
          <w:sz w:val="24"/>
          <w:szCs w:val="24"/>
        </w:rPr>
        <w:t>. DEĞERLENDİRME VE SONUÇ</w:t>
      </w:r>
    </w:p>
    <w:p w:rsidR="007B1742" w:rsidRDefault="007B1742" w:rsidP="00CD628A">
      <w:pPr>
        <w:ind w:firstLine="708"/>
      </w:pPr>
      <w:r w:rsidRPr="00A9306E">
        <w:t>Çalışmada, BIST 30’daki</w:t>
      </w:r>
      <w:r>
        <w:t xml:space="preserve"> 7 adet</w:t>
      </w:r>
      <w:r w:rsidRPr="00A9306E">
        <w:t xml:space="preserve"> holdinglerin ve yatırım şirketlerinin 2019 ve 2020 yıllarına ait bilançoları yatay analiz (karşılaştırmalı mali tablolar analizi) </w:t>
      </w:r>
      <w:r>
        <w:t>yöntemi ile analiz edilmiştir.</w:t>
      </w:r>
      <w:r w:rsidRPr="007B1742">
        <w:t xml:space="preserve"> </w:t>
      </w:r>
      <w:r w:rsidRPr="00A9306E">
        <w:t>BIST 30’daki holdinglerin ve yatırım şirketlerinin</w:t>
      </w:r>
      <w:r>
        <w:t xml:space="preserve"> sırası ile analiz değerlendirmeleri ve sonuçları şu şekilde karşımıza çıkmaktadır:</w:t>
      </w:r>
    </w:p>
    <w:p w:rsidR="00D275BF" w:rsidRDefault="00D275BF" w:rsidP="00CD628A">
      <w:pPr>
        <w:ind w:firstLine="708"/>
      </w:pPr>
      <w:r>
        <w:t>Tablo 2’de yer alan; Doğan Şirketler Grubu Holding A.Ş. çeşitli sektörlerde faaliyette bulunan bir holdingdir. İşletmenin bilançosu incelendiğinde 2020 yılında karını bir önceki yıla oranla %125 oranında arttırdığı görülmektedir. Şi</w:t>
      </w:r>
      <w:r w:rsidR="004C3309">
        <w:t>rket ayrıca öz</w:t>
      </w:r>
      <w:r>
        <w:t xml:space="preserve">kaynaklarını %23 oranında arttırarak sermaye yapısını güçlendirmiştir. Finansal Yatırımlarını arttıran şirket bu kalemde 2020 yılında %106’lık bir </w:t>
      </w:r>
      <w:r>
        <w:lastRenderedPageBreak/>
        <w:t>artış sergilemiştir. Şirketin stoklarındaki %25’lik artış ve finansal yatırımlara ağırlık verilmesinin sebebi reel sektördeki durgunluk</w:t>
      </w:r>
      <w:r w:rsidR="004C3309">
        <w:t>tur. Bununla birlikte şirketin kısa vadeli b</w:t>
      </w:r>
      <w:r>
        <w:t>orçlanmaları</w:t>
      </w:r>
      <w:r w:rsidR="004C3309">
        <w:t xml:space="preserve"> 2020’de 2% oranında azalırken uzun vadeli b</w:t>
      </w:r>
      <w:r>
        <w:t>orçlanmaları ise aynı sene 78% oranında artmıştır. Dolayısıyla şirket finansman ihtiyacını uzun vadeli borçlanma ile sağlama yoluna gitmiştir. Banka Kredileri kalemindeki 120%’lik arış ise şirketin finansmanı bankalardan sağladığına işarettir.</w:t>
      </w:r>
    </w:p>
    <w:p w:rsidR="00D275BF" w:rsidRDefault="00D275BF" w:rsidP="00CD628A">
      <w:pPr>
        <w:ind w:firstLine="708"/>
      </w:pPr>
      <w:r>
        <w:t>Tablo 3’te yer alan;</w:t>
      </w:r>
      <w:r w:rsidRPr="00D275BF">
        <w:t xml:space="preserve"> </w:t>
      </w:r>
      <w:r>
        <w:t>Hacı Ömer Sabancı Holding A.Ş. çeşitli sektörlerde faaliyette bulunan bir holdingdir. İşletmenin bilançosu incelendiğinde 2020 yılında karını bir önceki yıla oranla %26 oranında arttırdığı görülmektedir. Şirket ayrıca özkaynaklarını %16 oranında arttırarak sermaye yapısını güçlendirmiştir. Şirketin ticari alacaklarında ise 3229%’luk düzeyde astronomik bir artış söz konusu. Bu ise işletmenin risk düzeyinin arttığının göstergesi olabilir.</w:t>
      </w:r>
      <w:r w:rsidR="004C3309">
        <w:t xml:space="preserve"> Bununla birlikte şirketin kısa vadeli b</w:t>
      </w:r>
      <w:r>
        <w:t xml:space="preserve">orçlanmaları 2020’de 33% oranında artarken bu artış bankalara olan borçlardan </w:t>
      </w:r>
      <w:r w:rsidR="004C3309">
        <w:t>kaynaklanmıştır. Aynı şekilde, uzun vadeli b</w:t>
      </w:r>
      <w:r>
        <w:t>orçlanmalar da aynı sene 17% oranında artmıştır. Şirketin borçluluk düzeyi artarken borçluluğun büyük oranda kısa vadeli borçlardan kaynaklanması ise risk düzeyini arttırmaktadır.</w:t>
      </w:r>
    </w:p>
    <w:p w:rsidR="00D275BF" w:rsidRDefault="00D275BF" w:rsidP="00CD628A">
      <w:pPr>
        <w:ind w:firstLine="708"/>
      </w:pPr>
      <w:r>
        <w:t>Tablo 4’te yer alan;</w:t>
      </w:r>
      <w:r w:rsidRPr="00D275BF">
        <w:t xml:space="preserve"> </w:t>
      </w:r>
      <w:r>
        <w:t>Kardemir Karabük Demir Çelik Sanayi ve Ticaret A.Ş. çeşitli sektörlerde faaliyette bulunan bir holdingdir. İşletme pandemiden olumsuz şekilde etkilenmiş, karlılık oranları azalmıştır. Finansal tablolarındaki rakamlar ise işletmenin daha riskli hale geldiğini göstermektedir. İşletmenin bilançosu incelendiğinde 2020 yılında elde ettiği karın bir önceki yıla göre 25% azaldığı görülmekte. Şirketin Nakit ve Nakit Benzerleri 570% gibi yüksek bir oranda artmıştır. Bu ise işletmenin reel sektördeki durgunluktan etkilendiğinin göstergesi</w:t>
      </w:r>
      <w:r w:rsidR="004C3309">
        <w:t>dir. Bununla birlikte şirketin kısa vadeli b</w:t>
      </w:r>
      <w:r>
        <w:t>orçlanmaları 2020’de 2177% oranında artarken bu artış bankalara olan borçlardan kaynaklanmıştır. Nitekim aynı yıl banka kredileri 2403% artış sergilemiştir. Şirketin borçluluk düzeyi artarken borçluluğun büyük oranda kısa vadeli borçlardan kaynaklanması ise risk düzeyini arttırmaktadır.</w:t>
      </w:r>
    </w:p>
    <w:p w:rsidR="00D275BF" w:rsidRDefault="00D275BF" w:rsidP="00CD628A">
      <w:pPr>
        <w:ind w:firstLine="708"/>
      </w:pPr>
      <w:r>
        <w:t>Tablo 5’de yer alan; Koç Holding A.Ş. çeşitli sektörlerde faaliyette bulunan bir holdingdir. İşletme pandemiden olumsuz şekilde etkilenmemiş görünse de şirketin karlılığı artmış olsa da finansal yapısının daha riskli hale geldiği görülmektedir. İşletmenin bilançosu incelendiğinde 2020 yılında 2019’a göre 111% oranında daha fazla kar elde ettiği anlaşılmakta. Şirketin Nakit ve Nakit Benzerleri de 2019’a nazaran 60% gibi yüksek bir oranda artmıştır. Bu ise işletmenin reel sektördeki durgunluktan etkilendiğinin göstergesidir. Bununla birlik</w:t>
      </w:r>
      <w:r w:rsidR="004C3309">
        <w:t>te şirketin uzun vadeli borçlanmaların kısa vadeli k</w:t>
      </w:r>
      <w:r>
        <w:t>ısımları</w:t>
      </w:r>
      <w:r w:rsidR="004C3309">
        <w:t xml:space="preserve"> </w:t>
      </w:r>
      <w:r>
        <w:t>2020’</w:t>
      </w:r>
      <w:r w:rsidR="004C3309">
        <w:t>de 527% oranında artarken uzun vadeli b</w:t>
      </w:r>
      <w:r>
        <w:t>orçlanmaları da toplamda 182% oranında artmıştır. Şirketin Finans Sektörü Faaliyetlerinden Alacakları ise tam 11378% oranında artmıştır. Bu durum ilerleyen dönemlerde meydana gelebilecek olan zarar veya likidite sıkıntılarının habercisi olabilir. B</w:t>
      </w:r>
      <w:r w:rsidR="004C3309">
        <w:t>ununla birlikte şirket 2020’de ana ortaklığa ait öz</w:t>
      </w:r>
      <w:r>
        <w:t>kaynaklarını 28% oranında arttırarak sermayesini güçlendirmiştir.</w:t>
      </w:r>
    </w:p>
    <w:p w:rsidR="00D275BF" w:rsidRDefault="00D275BF" w:rsidP="00CD628A">
      <w:pPr>
        <w:ind w:firstLine="708"/>
      </w:pPr>
      <w:r>
        <w:t>Tablo 6’da yer alan;</w:t>
      </w:r>
      <w:r w:rsidR="000F0C1A" w:rsidRPr="000F0C1A">
        <w:t xml:space="preserve"> </w:t>
      </w:r>
      <w:r w:rsidR="000F0C1A">
        <w:t>Tav Havalimanları Holding A.Ş. havacılık sektöründe faaliyet göstermektedir. Havacılık, turizm, ulaşım gibi sektörler ise pandemiden en ağır darbe alan sektörlerdir. Dolayısıyla Tav Havalimanları Holding A.Ş. de salgından önemli ölçüde olumsuz olarak etkilenmiştir. 2020 yılında 2,2 milyar TL zarar eden şirketin karlılığı bir önceki yıla göre 196%</w:t>
      </w:r>
      <w:r w:rsidR="004C3309">
        <w:t xml:space="preserve"> oranında azalmıştır. Şirketin uzun vadeli b</w:t>
      </w:r>
      <w:r w:rsidR="000F0C1A">
        <w:t>orçları 2020’de 33% oranında artarken kısa vadeli borçlanmaları da aynı yıl 106% oranında artmıştır. Şirketin bilançosundaki yabancı para çevrim farkları ise 68% oranında artış sergilemiştir. Tüm bunlar ilerleyen dönemlerde meydana gelebilecek olan likidite sıkıntılarının habercisi olabilir. Bununla birlikt</w:t>
      </w:r>
      <w:r w:rsidR="004C3309">
        <w:t>e şirket 2020’de ana ortaklığa ait ö</w:t>
      </w:r>
      <w:r w:rsidR="000F0C1A">
        <w:t>zkaynaklarını 25% oranında arttırarak sermayesini güçlendirmiştir.</w:t>
      </w:r>
    </w:p>
    <w:p w:rsidR="00D275BF" w:rsidRDefault="00D275BF" w:rsidP="00CD628A">
      <w:pPr>
        <w:ind w:firstLine="708"/>
      </w:pPr>
      <w:r>
        <w:t>Tablo 7’de yer alan;</w:t>
      </w:r>
      <w:r w:rsidR="000F0C1A" w:rsidRPr="000F0C1A">
        <w:t xml:space="preserve"> </w:t>
      </w:r>
      <w:r w:rsidR="000F0C1A">
        <w:t xml:space="preserve">Tekfen Holding A.Ş. çeşitli sektörlerde faaliyette bulunan bir holdingdir. İşletme pandemiden olumsuz şekilde etkilenmiştir. İşletmenin bilançosu incelendiğinde 2020 yılında </w:t>
      </w:r>
      <w:r w:rsidR="000F0C1A">
        <w:lastRenderedPageBreak/>
        <w:t>60 milyon TL zarar ettiği ve aynı yıl karlılığının 2019’a göre 104% oranında azaldığı görülmektedir. Şirketin Nakit ve Nakit Benzerleri de 2019’a nazaran 20% oranında artmıştır. Bu ise işletmenin reel sektördeki durgunluktan etkilendiğinin göstergesi</w:t>
      </w:r>
      <w:r w:rsidR="004C3309">
        <w:t>dir. Bununla birlikte şirketin uzun vadeli borçlanmaları ve kısa v</w:t>
      </w:r>
      <w:r w:rsidR="000F0C1A">
        <w:t>adeli borçlanmaları</w:t>
      </w:r>
      <w:r w:rsidR="004C3309">
        <w:t xml:space="preserve"> </w:t>
      </w:r>
      <w:r w:rsidR="000F0C1A">
        <w:t>2020’de sırasıyla 27% ve 360% oranında artış göstermiştir. Bu ise şirketin borçluluğunun önemli ölçüde arttığını göstermektedir. Bu riski arttıran bir gelişmedir. Şirketin stoklarının da 2020 yılında bir önceki yıla göre 40% arttığı görülmekte. Bu durum ise reel faaliyetlerdeki durgunluğa işarettir.</w:t>
      </w:r>
    </w:p>
    <w:p w:rsidR="000F0C1A" w:rsidRDefault="00D275BF" w:rsidP="00CD628A">
      <w:pPr>
        <w:ind w:firstLine="708"/>
      </w:pPr>
      <w:r>
        <w:t>Tablo 8’de yer alan;</w:t>
      </w:r>
      <w:r w:rsidR="000F0C1A" w:rsidRPr="000F0C1A">
        <w:t xml:space="preserve"> </w:t>
      </w:r>
      <w:r w:rsidR="000F0C1A" w:rsidRPr="00A97F13">
        <w:t>Türkiye Şişe Ve Cam Fabrikaları A.Ş.</w:t>
      </w:r>
      <w:r w:rsidR="000F0C1A">
        <w:t xml:space="preserve"> </w:t>
      </w:r>
      <w:r w:rsidR="000F0C1A" w:rsidRPr="00A97F13">
        <w:t>çeşitli sektörlerde faaliyette bulunan bir işletmedir. İşletme pandemiden çok fazla etkilenmemiş görülmekte. İşletmenin bilançosu incelendiğinde 2020 yılında karlılığının 2019’a göre 12% oranında artış gösterdiği görülmektedir. Şirketin Nakit ve Nakit Benzerleri de 2019’a nazaran 12% oranında artmıştır. Bu incelenen diğer işletmeler de göz önüne alındığında radikal bir artış değildir. Şirketin finansal yatırımları ise 2020’de 407% oranında artmıştır. Bu durum işletmenin reel sektördeki durgunluktan etkilendiğinin göstergesid</w:t>
      </w:r>
      <w:r w:rsidR="004C3309">
        <w:t>ir. Bununla birlikte şirketin uzun vadeli b</w:t>
      </w:r>
      <w:r w:rsidR="000F0C1A" w:rsidRPr="00A97F13">
        <w:t>orçlanmaları</w:t>
      </w:r>
      <w:r w:rsidR="00BD044B">
        <w:t xml:space="preserve"> </w:t>
      </w:r>
      <w:r w:rsidR="000F0C1A" w:rsidRPr="00A97F13">
        <w:t>20</w:t>
      </w:r>
      <w:r w:rsidR="004C3309">
        <w:t>20’de 18% artarken kısa vadeli b</w:t>
      </w:r>
      <w:r w:rsidR="000F0C1A" w:rsidRPr="00A97F13">
        <w:t>orçlanmaları ise aynı sene 15% oranında azalma göstermiştir. Bu ise şirketin borçluluğu açısından olumlu bir durumdur. Çünkü kısa vadeli likidite riskinin azaldığına i</w:t>
      </w:r>
      <w:r w:rsidR="004C3309">
        <w:t>şarettir. Şirketin ana ortaklığa ait öz</w:t>
      </w:r>
      <w:r w:rsidR="000F0C1A" w:rsidRPr="00A97F13">
        <w:t>kaynaklarının da 2020 yılında bir önceki yıla göre 52% düzeyinde arttığı görülmekte. Bu durum ise şirketin önlem olarak sermayesini güçlendirme yoluna gittiğini göstermektedir.</w:t>
      </w:r>
    </w:p>
    <w:p w:rsidR="00BD044B" w:rsidRDefault="00BD044B" w:rsidP="009960B7">
      <w:pPr>
        <w:ind w:firstLine="708"/>
      </w:pPr>
      <w:r>
        <w:t xml:space="preserve">Sonuç olarak BIST 30’da yer alan şirketlerin çoğunun her küresel krizde olduğu gibi, Covid-19 salgınından da olumsuz etkilendiği tespit edilmiştir. Covid-19 salgının etkisi sektörel </w:t>
      </w:r>
      <w:proofErr w:type="gramStart"/>
      <w:r>
        <w:t>bazda</w:t>
      </w:r>
      <w:proofErr w:type="gramEnd"/>
      <w:r>
        <w:t xml:space="preserve"> farklılık göstermektedir. Çalışmamızda görüldüğü üzere, </w:t>
      </w:r>
      <w:r w:rsidRPr="00A9306E">
        <w:t xml:space="preserve">BIST 30’da endekslenen </w:t>
      </w:r>
      <w:r>
        <w:t>holding ve yatırım şirketleri genel olarak sermayesi</w:t>
      </w:r>
      <w:r w:rsidR="009960B7">
        <w:t>ni güçlendirme yoluna gittiği görülmüştür.</w:t>
      </w:r>
      <w:r w:rsidRPr="00A9306E">
        <w:t xml:space="preserve"> </w:t>
      </w:r>
    </w:p>
    <w:p w:rsidR="009960B7" w:rsidRDefault="009960B7" w:rsidP="009960B7">
      <w:pPr>
        <w:ind w:firstLine="708"/>
      </w:pPr>
    </w:p>
    <w:p w:rsidR="007C6D68" w:rsidRDefault="007C6D68" w:rsidP="007C6D68">
      <w:pPr>
        <w:rPr>
          <w:sz w:val="24"/>
          <w:szCs w:val="24"/>
        </w:rPr>
      </w:pPr>
      <w:r>
        <w:rPr>
          <w:sz w:val="24"/>
          <w:szCs w:val="24"/>
        </w:rPr>
        <w:t>KAYNAKÇA</w:t>
      </w:r>
    </w:p>
    <w:p w:rsidR="004A39D0" w:rsidRDefault="004A39D0" w:rsidP="004A39D0">
      <w:r>
        <w:t>1.</w:t>
      </w:r>
      <w:r>
        <w:tab/>
        <w:t>Akgüç, Ö. (2011). Mali tablolar analizi. İstanbul: Avcıol Basım Yayın.</w:t>
      </w:r>
    </w:p>
    <w:p w:rsidR="004A39D0" w:rsidRDefault="004A39D0" w:rsidP="004A39D0">
      <w:r>
        <w:t>2.</w:t>
      </w:r>
      <w:r>
        <w:tab/>
        <w:t>Baur, Dirk G. ve Trench, A. (2020). Covid-19 infection of Australian companies Erişim: https://ssrn.com/abstract=3609110, erişim tarihi: 14.08.2021.</w:t>
      </w:r>
    </w:p>
    <w:p w:rsidR="004A39D0" w:rsidRDefault="004A39D0" w:rsidP="004A39D0">
      <w:r>
        <w:t>3.</w:t>
      </w:r>
      <w:r>
        <w:tab/>
        <w:t>BIST (2021a). Erişim: https://www.borsaistanbul.com/tr/sayfa/2915/bist-endeksleri, erişim tarihi: 07.08.2021.</w:t>
      </w:r>
    </w:p>
    <w:p w:rsidR="004A39D0" w:rsidRDefault="004A39D0" w:rsidP="004A39D0">
      <w:r>
        <w:t>4.</w:t>
      </w:r>
      <w:r>
        <w:tab/>
        <w:t>BIST (2021b) BIST Piyasa Değeri Ağırlıklı Pay Endeksleri Temel Kuralları, Borsa İstanbul, erişim: https://www.borsaistanbul.com/files/bist-piyasa-degeri-agirlikli-pay-endeksleri-temel-kurallari.pdf, erişim tarihi: 08.08.2021.</w:t>
      </w:r>
    </w:p>
    <w:p w:rsidR="004A39D0" w:rsidRDefault="004A39D0" w:rsidP="004A39D0">
      <w:r>
        <w:t>5.</w:t>
      </w:r>
      <w:r>
        <w:tab/>
        <w:t>BIST (2021c) Erişim: https://www.borsaistanbul.com/tr/sayfa/246/kotasyon-sartlari, erişim tarihi: 05.08.2021.</w:t>
      </w:r>
    </w:p>
    <w:p w:rsidR="004A39D0" w:rsidRDefault="004A39D0" w:rsidP="004A39D0">
      <w:r>
        <w:t>6.</w:t>
      </w:r>
      <w:r>
        <w:tab/>
        <w:t>Çağlar, Ünal; Dışkaya, Senem K. (2018) “Küreselleşme, Uluslararası Para Sistemi ve Kriz”, Journal of Economic Policy Researches, 5(2), 1-24.</w:t>
      </w:r>
    </w:p>
    <w:p w:rsidR="004A39D0" w:rsidRDefault="004A39D0" w:rsidP="004A39D0">
      <w:r>
        <w:t>7.</w:t>
      </w:r>
      <w:r>
        <w:tab/>
        <w:t xml:space="preserve">Demir, Z. (2020). Covid-19’un BİST 100’deki şirketlerin mali tabloları üzerindeki etkisinin oran yöntemi ile analizi. Hitit Üniversitesi Sosyal Bilimler Enstitüsü Dergisi, 13(2), 408-438. doi: </w:t>
      </w:r>
      <w:proofErr w:type="gramStart"/>
      <w:r>
        <w:t>10.17218</w:t>
      </w:r>
      <w:proofErr w:type="gramEnd"/>
      <w:r>
        <w:t>/hititsosbil.810202.</w:t>
      </w:r>
    </w:p>
    <w:p w:rsidR="004A39D0" w:rsidRDefault="004A39D0" w:rsidP="004A39D0">
      <w:r>
        <w:t>8.</w:t>
      </w:r>
      <w:r>
        <w:tab/>
        <w:t>Demirhan, E. (2020) COVID-19 Küresel Salgınının Türkiye CDS Primlerine ve BİST 100 Endeksine Etkisi, TEPAV Değerlendirme Notu: 2020-09, https://www.tepav.org.tr/tr/haberler/s/10101, erişim tarihi: 12.08.2021.</w:t>
      </w:r>
    </w:p>
    <w:p w:rsidR="004A39D0" w:rsidRDefault="004A39D0" w:rsidP="004A39D0">
      <w:r>
        <w:lastRenderedPageBreak/>
        <w:t>9.</w:t>
      </w:r>
      <w:r>
        <w:tab/>
        <w:t>Dünya Bankası &amp; IMF (2005) “Financial Sector Assesment: A Handbook”, DOI: 10.1596/978-0-8213-6432-1.</w:t>
      </w:r>
    </w:p>
    <w:p w:rsidR="004A39D0" w:rsidRDefault="004A39D0" w:rsidP="004A39D0">
      <w:r>
        <w:t>10.</w:t>
      </w:r>
      <w:r>
        <w:tab/>
        <w:t>Dünya Bankası (2020a). Erişim: The Global Economic Outlook During the COVID-19 Pandemic: A Changed World (worldbank.org), erişim tarihi: 13.08.2021.</w:t>
      </w:r>
    </w:p>
    <w:p w:rsidR="004A39D0" w:rsidRDefault="004A39D0" w:rsidP="004A39D0">
      <w:r>
        <w:t>11.</w:t>
      </w:r>
      <w:r>
        <w:tab/>
        <w:t>Eser, Levent Yahya &amp; Ela, Mehmet (2015) “Avrupa Borç Krizi: Nasıl, Neden ve Nereye?”, Eskişehir Osmangazi University, İ.İ.B.F. Dergisi, 10(1), 209- 232.</w:t>
      </w:r>
    </w:p>
    <w:p w:rsidR="004A39D0" w:rsidRDefault="004A39D0" w:rsidP="004A39D0">
      <w:r>
        <w:t>12.</w:t>
      </w:r>
      <w:r>
        <w:tab/>
        <w:t>Fama, E. (1970). Efficient capital markets: a review of theory and emprical work. Journal of Finance. 25(2), 383- 417.</w:t>
      </w:r>
    </w:p>
    <w:p w:rsidR="004A39D0" w:rsidRDefault="004A39D0" w:rsidP="004A39D0">
      <w:r>
        <w:t>13.</w:t>
      </w:r>
      <w:r>
        <w:tab/>
        <w:t>Gülcan, Nazlıgül; Boyacıoğlu, Namıka &amp; Özdemir, Arife (2021) “Investıgation of Speculative Bubbles in Fınancial Markets: The Example of Foreign Exchange Market”, Süleyman Demirel Üniversitesi Vizyoner Dergisi, Cilt: 12, Sayı: 29, 176-187.</w:t>
      </w:r>
    </w:p>
    <w:p w:rsidR="004A39D0" w:rsidRDefault="004A39D0" w:rsidP="004A39D0">
      <w:r>
        <w:t>14.</w:t>
      </w:r>
      <w:r>
        <w:tab/>
        <w:t>Held, David; McGrew, Anthony; Goldblatt, David &amp; Perraton, Jonathan (1999) “What is Globalization?”, erişim:https://cluster10-files.instructure.com/files/</w:t>
      </w:r>
      <w:proofErr w:type="gramStart"/>
      <w:r>
        <w:t>25761720</w:t>
      </w:r>
      <w:proofErr w:type="gramEnd"/>
      <w:r>
        <w:t>/download?download_frd=1&amp;verifier=TwAtD3OY1sTFOPIqvTEJeAq9DmZL8kWKQHzvT7rV, erişim tarihi: 15.06.2021.</w:t>
      </w:r>
    </w:p>
    <w:p w:rsidR="004A39D0" w:rsidRDefault="004A39D0" w:rsidP="004A39D0">
      <w:r>
        <w:t>15.</w:t>
      </w:r>
      <w:r>
        <w:tab/>
        <w:t>https://tr.investing.com/indices/ise-30-historical-</w:t>
      </w:r>
      <w:proofErr w:type="gramStart"/>
      <w:r>
        <w:t>data</w:t>
      </w:r>
      <w:proofErr w:type="gramEnd"/>
    </w:p>
    <w:p w:rsidR="004A39D0" w:rsidRDefault="004A39D0" w:rsidP="004A39D0">
      <w:r>
        <w:t>16.</w:t>
      </w:r>
      <w:r>
        <w:tab/>
        <w:t>https://tr.investing.com/indices/ise-30-historical-</w:t>
      </w:r>
      <w:proofErr w:type="gramStart"/>
      <w:r>
        <w:t>data</w:t>
      </w:r>
      <w:proofErr w:type="gramEnd"/>
    </w:p>
    <w:p w:rsidR="004A39D0" w:rsidRDefault="004A39D0" w:rsidP="004A39D0">
      <w:r>
        <w:t>17.</w:t>
      </w:r>
      <w:r>
        <w:tab/>
        <w:t>https://tr.investing.com/indices/ise-30-historical-</w:t>
      </w:r>
      <w:proofErr w:type="gramStart"/>
      <w:r>
        <w:t>data</w:t>
      </w:r>
      <w:proofErr w:type="gramEnd"/>
    </w:p>
    <w:p w:rsidR="004A39D0" w:rsidRDefault="004A39D0" w:rsidP="004A39D0">
      <w:r>
        <w:t>18.</w:t>
      </w:r>
      <w:r>
        <w:tab/>
        <w:t>İskenderoğlu, Ö</w:t>
      </w:r>
      <w:proofErr w:type="gramStart"/>
      <w:r>
        <w:t>.,</w:t>
      </w:r>
      <w:proofErr w:type="gramEnd"/>
      <w:r>
        <w:t xml:space="preserve"> ve Karakozak Ö. (2013). 2008 Küresel Finansal Krizinin Finansal Oranlar Üzerine Etkisi: BIST’de İşlem Gören İmalat Sanayi İşletmeleri Üzerine Bir Uygulama. Dokuz Eylül Üniversitesi İktisadi ve İdari Bilimler Fakültesi Dergisi, 28(2), 99-129.</w:t>
      </w:r>
    </w:p>
    <w:p w:rsidR="004A39D0" w:rsidRDefault="004A39D0" w:rsidP="004A39D0">
      <w:r>
        <w:t>19.</w:t>
      </w:r>
      <w:r>
        <w:tab/>
        <w:t>İSO (2009A), http://www.iso.org.tr/tr/web/ statiksayfalar/Meclis_Konusmalari_22-07-09.aspx.</w:t>
      </w:r>
    </w:p>
    <w:p w:rsidR="004A39D0" w:rsidRDefault="004A39D0" w:rsidP="004A39D0">
      <w:r>
        <w:t>20.</w:t>
      </w:r>
      <w:r>
        <w:tab/>
        <w:t>Kamuyu Aydınlatma Platformu (2021) Erişim: https://www.kap.org.tr/tr/Pazarlar, erişim tarihi: 05.08.2021.</w:t>
      </w:r>
    </w:p>
    <w:p w:rsidR="004A39D0" w:rsidRDefault="004A39D0" w:rsidP="004A39D0">
      <w:r>
        <w:t>21.</w:t>
      </w:r>
      <w:r>
        <w:tab/>
        <w:t>KAP (2021a) Erişim: https://www.kap.org.tr/tr/Endeksler, erişim tarihi: 13.08.2021.</w:t>
      </w:r>
    </w:p>
    <w:p w:rsidR="004A39D0" w:rsidRDefault="004A39D0" w:rsidP="004A39D0">
      <w:r>
        <w:t>22.</w:t>
      </w:r>
      <w:r>
        <w:tab/>
        <w:t>Melicher, Ronald W. &amp; Norton, Edgar A. (2017) “Introduction to Finance: Markets, Investments, And Financial Management”, 16. Edition, Wiley.</w:t>
      </w:r>
    </w:p>
    <w:p w:rsidR="004A39D0" w:rsidRDefault="004A39D0" w:rsidP="004A39D0">
      <w:r>
        <w:t>23.</w:t>
      </w:r>
      <w:r>
        <w:tab/>
        <w:t>Peker, Yakup; Demirhan, Ecem (2020). Covıd-19 Küresel Salgınının Borsa İstanbul’daki Sektörel Etkileri. Türkiye Ekonomi Politikaları Araştırma Vakfı, Değerlendirme Notu, N202012, s. 1-14.</w:t>
      </w:r>
    </w:p>
    <w:p w:rsidR="004A39D0" w:rsidRDefault="004A39D0" w:rsidP="004A39D0">
      <w:r>
        <w:t>24.</w:t>
      </w:r>
      <w:r>
        <w:tab/>
        <w:t>Uyar, A. &amp; Okumuş, E. (2010). Finansal Oranlar Aracılığıyla Küresel Ekonomik Krizin Üretim Şirketlerine Etkilerinin Analizi: İMKB’de Bir Uygulama. Muhasebe ve Finansman Dergisi, (46), 146-156.</w:t>
      </w:r>
    </w:p>
    <w:p w:rsidR="004A39D0" w:rsidRDefault="004A39D0" w:rsidP="004A39D0">
      <w:r>
        <w:t>25.</w:t>
      </w:r>
      <w:r>
        <w:tab/>
        <w:t>WHO, (2021a). Erişim: https://www.who.int/health-topics/coronavirus#tab=tab_1, erişim tarihi: 05.08.2021.</w:t>
      </w:r>
    </w:p>
    <w:p w:rsidR="00D275BF" w:rsidRDefault="004A39D0" w:rsidP="004A39D0">
      <w:r>
        <w:t>26.</w:t>
      </w:r>
      <w:r>
        <w:tab/>
        <w:t>WHO, (2021b). Erişim: https://www.who.int/news/item/13-10-2020-impact-of-covid-19-on-people's-livelihoods-their-health-and-our-food-systems#:~:text=The%20economic%20and%20social%20disruption,the%20end%20of%20the%20year</w:t>
      </w:r>
      <w:proofErr w:type="gramStart"/>
      <w:r>
        <w:t>.,</w:t>
      </w:r>
      <w:proofErr w:type="gramEnd"/>
      <w:r>
        <w:t xml:space="preserve"> erişim: 17.08.2021.</w:t>
      </w:r>
    </w:p>
    <w:p w:rsidR="004A39D0" w:rsidRDefault="004A39D0" w:rsidP="004A39D0">
      <w:r>
        <w:lastRenderedPageBreak/>
        <w:t>27.</w:t>
      </w:r>
      <w:r>
        <w:tab/>
      </w:r>
      <w:r w:rsidRPr="004A39D0">
        <w:t>Yıldırım, Hayal; Kılıç, Meltem (2021) “Covid-19’un BIST’te Faaliyet Gösteren Ulaştırma Sektörlerinin Mali Tablolarına Etkisi”, Uluslararası Stratejik Boyut Dergisi, 1(1): 58-70.</w:t>
      </w:r>
    </w:p>
    <w:p w:rsidR="00B078A0" w:rsidRDefault="00B078A0" w:rsidP="004A39D0"/>
    <w:p w:rsidR="003E5E1C" w:rsidRDefault="0029181E" w:rsidP="003E5E1C">
      <w:pPr>
        <w:rPr>
          <w:sz w:val="24"/>
          <w:szCs w:val="24"/>
        </w:rPr>
      </w:pPr>
      <w:r>
        <w:rPr>
          <w:sz w:val="24"/>
          <w:szCs w:val="24"/>
        </w:rPr>
        <w:t>EXTENDED ABSTRAC</w:t>
      </w:r>
      <w:r w:rsidR="003E5E1C">
        <w:rPr>
          <w:sz w:val="24"/>
          <w:szCs w:val="24"/>
        </w:rPr>
        <w:t>T</w:t>
      </w:r>
      <w:r>
        <w:rPr>
          <w:sz w:val="24"/>
          <w:szCs w:val="24"/>
        </w:rPr>
        <w:t xml:space="preserve">  </w:t>
      </w:r>
    </w:p>
    <w:p w:rsidR="0029181E" w:rsidRDefault="0029181E" w:rsidP="003E5E1C">
      <w:pPr>
        <w:rPr>
          <w:sz w:val="24"/>
          <w:szCs w:val="24"/>
        </w:rPr>
      </w:pPr>
      <w:r>
        <w:rPr>
          <w:sz w:val="24"/>
          <w:szCs w:val="24"/>
        </w:rPr>
        <w:t>Purpose</w:t>
      </w:r>
      <w:bookmarkStart w:id="0" w:name="_GoBack"/>
      <w:bookmarkEnd w:id="0"/>
    </w:p>
    <w:p w:rsidR="00FE04E6" w:rsidRPr="00E75DC9" w:rsidRDefault="00E75DC9" w:rsidP="003E5E1C">
      <w:r>
        <w:t xml:space="preserve">The Covid-19 pandemic, which has affected the whole world, has turned into a social and economic crisis. It has adversely affected the financial performance of most businesses, except for companies operating in some exceptional sectors. This event, which turned into a </w:t>
      </w:r>
      <w:proofErr w:type="gramStart"/>
      <w:r>
        <w:t>global</w:t>
      </w:r>
      <w:proofErr w:type="gramEnd"/>
      <w:r>
        <w:t xml:space="preserve"> social and economic crisis in a short time, had a strong impact on the performances of businesses operating in Turkey. Although there are differences on the basis of business and sector, thi</w:t>
      </w:r>
      <w:r w:rsidR="002234AF">
        <w:t xml:space="preserve">s effect was generally negative. </w:t>
      </w:r>
      <w:r>
        <w:t>The aim of this study is to analyze how the financial statements of holdings and investment companies traded in Borsa Istanbul and included in the BIST 30 index are affected by the Covid-19 pandemic.</w:t>
      </w:r>
    </w:p>
    <w:p w:rsidR="0029181E" w:rsidRDefault="0029181E" w:rsidP="003E5E1C">
      <w:pPr>
        <w:rPr>
          <w:sz w:val="24"/>
          <w:szCs w:val="24"/>
        </w:rPr>
      </w:pPr>
      <w:r>
        <w:rPr>
          <w:sz w:val="24"/>
          <w:szCs w:val="24"/>
        </w:rPr>
        <w:t xml:space="preserve">Desing/ Methodology/ Approach </w:t>
      </w:r>
    </w:p>
    <w:p w:rsidR="00FE04E6" w:rsidRPr="00FE04E6" w:rsidRDefault="00FE04E6" w:rsidP="003E5E1C">
      <w:r w:rsidRPr="00FE04E6">
        <w:t xml:space="preserve">The method used in the study is basically descriptive analysis and </w:t>
      </w:r>
      <w:proofErr w:type="gramStart"/>
      <w:r w:rsidRPr="00FE04E6">
        <w:t>data</w:t>
      </w:r>
      <w:proofErr w:type="gramEnd"/>
      <w:r w:rsidRPr="00FE04E6">
        <w:t xml:space="preserve"> analysis. In this context, the balance sheets of the holdings and investment companies in BIST 30 for the years 2019 and 2020 were analyzed using the horizontal analysis (comparative financial statement analysis) method. The financial table used in the analysis is the balance sheet, and the </w:t>
      </w:r>
      <w:proofErr w:type="gramStart"/>
      <w:r w:rsidRPr="00FE04E6">
        <w:t>data</w:t>
      </w:r>
      <w:proofErr w:type="gramEnd"/>
      <w:r w:rsidRPr="00FE04E6">
        <w:t xml:space="preserve"> related to these are obtained from the Public Disclosure Platform (KAP). The data were obtained from the annual balance sheets of 7 holding and investment companies in BIST 30 for the years 2019 and 2020. The 7 holding and investment companies indexed in BIST 30 are as follows; Doğan Group of Companies Holding A.Ş. , Hacı Ömer Sabancı Holding A.Ş</w:t>
      </w:r>
      <w:proofErr w:type="gramStart"/>
      <w:r w:rsidRPr="00FE04E6">
        <w:t>.,</w:t>
      </w:r>
      <w:proofErr w:type="gramEnd"/>
      <w:r w:rsidRPr="00FE04E6">
        <w:t xml:space="preserve"> Kardemir Karabük Iron and Steel Industry and Trade Inc., Koç Holding A.Ş., Tav Airports Holding A.Ş., Tekfen Holding A.Ş. ., Turkey Şişe Ve Cam Fabrikaları A.Ş. are businesses.</w:t>
      </w:r>
    </w:p>
    <w:p w:rsidR="0029181E" w:rsidRDefault="0029181E" w:rsidP="003E5E1C">
      <w:pPr>
        <w:rPr>
          <w:sz w:val="24"/>
          <w:szCs w:val="24"/>
        </w:rPr>
      </w:pPr>
      <w:r>
        <w:rPr>
          <w:sz w:val="24"/>
          <w:szCs w:val="24"/>
        </w:rPr>
        <w:t>Findings</w:t>
      </w:r>
    </w:p>
    <w:p w:rsidR="00FE04E6" w:rsidRPr="00FE04E6" w:rsidRDefault="00FE04E6" w:rsidP="00FE04E6">
      <w:r w:rsidRPr="00FE04E6">
        <w:t>There are balance sheet figures of 7 holding and investment companies indexed in BIST 30. The balance sheet contains figures for both 2019 and 2020. Balance sheet figures are annual. The change in these figures is reflected as both the amount and the proportional change (% rate) in the table below. The analysis evaluations and results of the holdings and investment companies in BIST 30, respectively, are as follows:</w:t>
      </w:r>
    </w:p>
    <w:p w:rsidR="00FE04E6" w:rsidRPr="00FE04E6" w:rsidRDefault="00FE04E6" w:rsidP="00FE04E6">
      <w:r w:rsidRPr="00FE04E6">
        <w:t>-Doğan Group of Companies Holding A.Ş. is a holding operating in various sectors. When the balance sheet of the enterprise is examined, it is seen that its profit has increased by 125% in 2020 compared to the previous year. The company also strengthened its capital structure by increasing its equity by 23%. The company, which increased its financial investments, showed an increase of 106% in this item in 2020. The reason for the 25% increase in the stocks of the company and the emphasis on financial investments is the stagnation in the real sector. However, the company's short-term borrowings decreased by 2% in 2020, while its long-term borrowings increased by 78% in the same year. Therefore, the company chose to meet its financing needs with long-term borrowing. The increase of 120% in the Bank Loans item indicates that the company obtains the financing from the banks.</w:t>
      </w:r>
    </w:p>
    <w:p w:rsidR="00FE04E6" w:rsidRPr="00FE04E6" w:rsidRDefault="00FE04E6" w:rsidP="00FE04E6">
      <w:r w:rsidRPr="00FE04E6">
        <w:t xml:space="preserve">-Hacı Ömer Sabancı Holding A.Ş. is a holding operating in various sectors. When the balance sheet of the enterprise is analyzed, it is seen that its profit has increased by 26% in 2020 compared to the previous year. The company also strengthened its capital structure by increasing its equity by 16%. There is an astronomical increase of 3229% in the commercial receivables of the company. This may indicate that the risk level of the enterprise has increased. However, while the company's short-term </w:t>
      </w:r>
      <w:r w:rsidRPr="00FE04E6">
        <w:lastRenderedPageBreak/>
        <w:t>borrowings increased by 33% in 2020, this increase was due to its debts to banks. Likewise, long-term borrowings increased by 17% in the same year. While the indebtedness level of the company increases, the fact that the indebtedness is mostly stemming from short-term debts increases the risk level.</w:t>
      </w:r>
    </w:p>
    <w:p w:rsidR="00FE04E6" w:rsidRPr="00FE04E6" w:rsidRDefault="00FE04E6" w:rsidP="00FE04E6">
      <w:r w:rsidRPr="00FE04E6">
        <w:t xml:space="preserve">- Kardemir Karabuk Iron and Steel Industry and Trade Inc. </w:t>
      </w:r>
      <w:proofErr w:type="gramStart"/>
      <w:r w:rsidRPr="00FE04E6">
        <w:t>is</w:t>
      </w:r>
      <w:proofErr w:type="gramEnd"/>
      <w:r w:rsidRPr="00FE04E6">
        <w:t xml:space="preserve"> a holding operating in various sectors. The business has been adversely affected by the pandemic, and its profitability rates have decreased. The figures in the financial statements show that the business has become more risky. When the balance sheet of the enterprise is analyzed, it is seen that the profit obtained in 2020 decreased by 25% compared to the previous year. The Company's Cash and Cash Equivalents increased by as much as 570%. This is an indication that the business is affected by the recession in the real sector. However, while the company's short-term borrowings increased by 2177% in 2020, this increase was due to its debts to banks. As a matter of fact, bank loans increased by 2403% in the same year. While the indebtedness level of the company increases, the fact that the indebtedness is mostly stemming from short-term debts increases the risk level.</w:t>
      </w:r>
    </w:p>
    <w:p w:rsidR="00FE04E6" w:rsidRPr="00FE04E6" w:rsidRDefault="00FE04E6" w:rsidP="00FE04E6">
      <w:r w:rsidRPr="00FE04E6">
        <w:t xml:space="preserve">-Koç Holding A.Ş. is a holding operating in various sectors. Although the business does not seem to be adversely affected by the pandemic, the company's profitability has increased, but its financial structure has become more risky. </w:t>
      </w:r>
      <w:proofErr w:type="gramStart"/>
      <w:r w:rsidRPr="00FE04E6">
        <w:t xml:space="preserve">When the balance sheet of the business is analyzed, it is understood that it has made 111% more profit in 2020 compared to 2019. The company's Cash and Cash Equivalents also increased by 60% compared to 2019. This is an indication that the business is affected by the recession in the real sector. </w:t>
      </w:r>
      <w:proofErr w:type="gramEnd"/>
      <w:r w:rsidRPr="00FE04E6">
        <w:t>However, the short-term portion of the company's long-term borrowings increased by 527% in 2020, while its long-term borrowings increased by 182% in total. The Company's Receivables from Finance Sector Activities increased by 11378%. This may be a harbinger of losses or liquidity problems that may occur in the future. However, the company has strengthened its capital by increasing its equity of the parent company by 28% in 2020.</w:t>
      </w:r>
    </w:p>
    <w:p w:rsidR="00FE04E6" w:rsidRPr="00FE04E6" w:rsidRDefault="00FE04E6" w:rsidP="00FE04E6">
      <w:r w:rsidRPr="00FE04E6">
        <w:t xml:space="preserve">-Tav Airports Holding A.Ş. operates in the aviation industry. Sectors such as aviation, tourism and transportation are the sectors that have been </w:t>
      </w:r>
      <w:proofErr w:type="gramStart"/>
      <w:r w:rsidRPr="00FE04E6">
        <w:t>hit</w:t>
      </w:r>
      <w:proofErr w:type="gramEnd"/>
      <w:r w:rsidRPr="00FE04E6">
        <w:t xml:space="preserve"> hardest by the pandemic. Therefore, Tav Airports Holding A.Ş. has also been adversely affected by the epidemic. The profitability of the company, which lost </w:t>
      </w:r>
      <w:proofErr w:type="gramStart"/>
      <w:r w:rsidRPr="00FE04E6">
        <w:t>2.2</w:t>
      </w:r>
      <w:proofErr w:type="gramEnd"/>
      <w:r w:rsidRPr="00FE04E6">
        <w:t xml:space="preserve"> billion TL in 2020, decreased by 196% compared to the previous year. The company's long-term debts increased by 33% in 2020, while its short-term borrowings increased by 106% in the same year. Currency translation differences in the company's balance sheet increased by 68%. All these may be a harbinger of liquidity problems that may occur in the future. In addition, the company has strengthened its capital by increasing its equity of the parent company by 25% in 2020.</w:t>
      </w:r>
    </w:p>
    <w:p w:rsidR="00FE04E6" w:rsidRPr="00FE04E6" w:rsidRDefault="00FE04E6" w:rsidP="00FE04E6">
      <w:r w:rsidRPr="00FE04E6">
        <w:t xml:space="preserve">-Tekfen Holding A.Ş. is a holding operating in various sectors. The business has been adversely affected by the pandemic. </w:t>
      </w:r>
      <w:proofErr w:type="gramStart"/>
      <w:r w:rsidRPr="00FE04E6">
        <w:t xml:space="preserve">When the balance sheet of the enterprise is analyzed, it is seen that it lost 60 million TL in 2020 and its profitability decreased by 104% in the same year compared to 2019. The company's Cash and Cash Equivalents also increased by 20% compared to 2019. This is an indication that the business is affected by the recession in the real sector. </w:t>
      </w:r>
      <w:proofErr w:type="gramEnd"/>
      <w:r w:rsidRPr="00FE04E6">
        <w:t>However, the company's long-term and short-term borrowings increased by 27% and 360%, respectively, in 2020. This indicates that the company's indebtedness has increased significantly. This is a development that increases the risk. It is seen that the stocks of the company increased by 40% in 2020 compared to the previous year. This situation indicates the stagnation in real activities.</w:t>
      </w:r>
    </w:p>
    <w:p w:rsidR="00FE04E6" w:rsidRDefault="00FE04E6" w:rsidP="00FE04E6">
      <w:r w:rsidRPr="00FE04E6">
        <w:t xml:space="preserve">-Turkey Şişe Ve Cam Fabrikaları A.Ş. It is a business operating in various sectors. The business does not seem to have been affected much by the pandemic. When the balance sheet of the enterprise is analyzed, it is seen that its profitability in 2020 increased by 12% compared to 2019. The company's Cash and Cash Equivalents also increased by 12% compared to 2019. This is not a radical increase given the other businesses surveyed. The company's financial investments increased by 407% in 2020. </w:t>
      </w:r>
      <w:r w:rsidRPr="00FE04E6">
        <w:lastRenderedPageBreak/>
        <w:t>This is an indication that the business is affected by the recession in the real sector. However, the company's long-term borrowings increased by 18% in 2020, while its short-term borrowings decreased by 15% in the same year. This is a positive situation for the company's indebtedness. Because it indicates that the short -term liquidity risk is redu</w:t>
      </w:r>
      <w:r>
        <w:t>ced</w:t>
      </w:r>
      <w:r w:rsidRPr="00FE04E6">
        <w:t>. It is observed that the equity of the company's parent company increased by 52% in 2020 compared to the previous year. This situation shows that the company is going to strengthen its capital as a precautionary measure.</w:t>
      </w:r>
    </w:p>
    <w:p w:rsidR="00FE04E6" w:rsidRPr="00661319" w:rsidRDefault="00661319" w:rsidP="003E5E1C">
      <w:r>
        <w:t xml:space="preserve">As a result, it has been determined that most of the companies in BIST 30 were adversely affected by the Covid-19 outbreak, as in every </w:t>
      </w:r>
      <w:proofErr w:type="gramStart"/>
      <w:r>
        <w:t>global</w:t>
      </w:r>
      <w:proofErr w:type="gramEnd"/>
      <w:r>
        <w:t xml:space="preserve"> crisis. The impact of the Covid-19 outbreak differs on a sectoral basis. As seen in our study, it has been observed that holding and investment companies indexed in BIST 30 generally prefer to strengthen their capital.</w:t>
      </w:r>
    </w:p>
    <w:p w:rsidR="0029181E" w:rsidRDefault="0029181E" w:rsidP="003E5E1C">
      <w:pPr>
        <w:rPr>
          <w:sz w:val="24"/>
          <w:szCs w:val="24"/>
        </w:rPr>
      </w:pPr>
      <w:r>
        <w:rPr>
          <w:sz w:val="24"/>
          <w:szCs w:val="24"/>
        </w:rPr>
        <w:t>Practical İmplications</w:t>
      </w:r>
    </w:p>
    <w:p w:rsidR="00FE04E6" w:rsidRPr="000873C5" w:rsidRDefault="000873C5" w:rsidP="003E5E1C">
      <w:r>
        <w:t xml:space="preserve">Although the Covid-19 epidemic emerged in December 2019, it started to show its first effects globally at the beginning of 2020. For this reason, the </w:t>
      </w:r>
      <w:proofErr w:type="gramStart"/>
      <w:r>
        <w:t>data</w:t>
      </w:r>
      <w:proofErr w:type="gramEnd"/>
      <w:r>
        <w:t xml:space="preserve"> were separated as pre-crisis and post-crisis, and the data of the 2019 balance sheet (annual balance sheet) was based on the pre-crisis period, while the post-crisis period was analyzed with the help of the data in the 2020 (annual) balance sheet. The fact that Covid-19 is a new case and there is not enough information and research on this subject is one of the limitations of the study.</w:t>
      </w:r>
    </w:p>
    <w:p w:rsidR="0029181E" w:rsidRDefault="0029181E" w:rsidP="003E5E1C">
      <w:pPr>
        <w:rPr>
          <w:sz w:val="24"/>
          <w:szCs w:val="24"/>
        </w:rPr>
      </w:pPr>
      <w:r>
        <w:rPr>
          <w:sz w:val="24"/>
          <w:szCs w:val="24"/>
        </w:rPr>
        <w:t>Originality/ Value</w:t>
      </w:r>
    </w:p>
    <w:p w:rsidR="003C0FA6" w:rsidRPr="00284563" w:rsidRDefault="00284563" w:rsidP="003E5E1C">
      <w:r>
        <w:t>I</w:t>
      </w:r>
      <w:r>
        <w:t xml:space="preserve">n the study, only the </w:t>
      </w:r>
      <w:proofErr w:type="gramStart"/>
      <w:r>
        <w:t>data</w:t>
      </w:r>
      <w:proofErr w:type="gramEnd"/>
      <w:r>
        <w:t xml:space="preserve"> of 7 holding and investment companies indexed in BIST 30, one of the stock indices within Borsa Istanbul, were analyzed and the others were excluded.</w:t>
      </w:r>
      <w:r w:rsidRPr="00284563">
        <w:t xml:space="preserve"> </w:t>
      </w:r>
      <w:r>
        <w:t>T</w:t>
      </w:r>
      <w:r>
        <w:t>he balance sheets of the holdings and investment companies in BIST 30 for the years 2019 and 2020 were analyzed</w:t>
      </w:r>
      <w:r>
        <w:t xml:space="preserve"> using the horizontal analysis </w:t>
      </w:r>
      <w:r>
        <w:t>method.</w:t>
      </w:r>
      <w:r w:rsidR="003C0FA6">
        <w:t xml:space="preserve"> </w:t>
      </w:r>
      <w:r w:rsidR="003C0FA6" w:rsidRPr="003C0FA6">
        <w:t xml:space="preserve">In the direction of the study, there is no study that has been researched and conducted before. In the study, analysis of BIST 30 indexed company </w:t>
      </w:r>
      <w:proofErr w:type="gramStart"/>
      <w:r w:rsidR="003C0FA6" w:rsidRPr="003C0FA6">
        <w:t>data</w:t>
      </w:r>
      <w:proofErr w:type="gramEnd"/>
      <w:r w:rsidR="003C0FA6" w:rsidRPr="003C0FA6">
        <w:t>, examination of holding and investment companies, comparison and analysis of the years before and after Covid-19 with the horizontal analysis method; demonstrates the originality of the study.</w:t>
      </w:r>
    </w:p>
    <w:p w:rsidR="0029181E" w:rsidRDefault="0029181E" w:rsidP="003E5E1C">
      <w:pPr>
        <w:rPr>
          <w:sz w:val="24"/>
          <w:szCs w:val="24"/>
        </w:rPr>
      </w:pPr>
      <w:r>
        <w:rPr>
          <w:sz w:val="24"/>
          <w:szCs w:val="24"/>
        </w:rPr>
        <w:t xml:space="preserve">Keywords </w:t>
      </w:r>
    </w:p>
    <w:p w:rsidR="00BC6F82" w:rsidRPr="00BC6F82" w:rsidRDefault="00FE04E6" w:rsidP="00B078A0">
      <w:r w:rsidRPr="00FE04E6">
        <w:t>Covid-19, BIST 30, Financial Statements Analysis, Investment Companies.</w:t>
      </w:r>
    </w:p>
    <w:sectPr w:rsidR="00BC6F82" w:rsidRPr="00BC6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723E"/>
    <w:multiLevelType w:val="hybridMultilevel"/>
    <w:tmpl w:val="6FCEA0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3E43FC"/>
    <w:multiLevelType w:val="hybridMultilevel"/>
    <w:tmpl w:val="759A1F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EE92DC7"/>
    <w:multiLevelType w:val="hybridMultilevel"/>
    <w:tmpl w:val="712E849E"/>
    <w:lvl w:ilvl="0" w:tplc="041F000F">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A7"/>
    <w:rsid w:val="000513D8"/>
    <w:rsid w:val="000873C5"/>
    <w:rsid w:val="000D6FB2"/>
    <w:rsid w:val="000F0C1A"/>
    <w:rsid w:val="000F6917"/>
    <w:rsid w:val="001D4B37"/>
    <w:rsid w:val="001D60F5"/>
    <w:rsid w:val="002234AF"/>
    <w:rsid w:val="00284563"/>
    <w:rsid w:val="0029181E"/>
    <w:rsid w:val="0030071D"/>
    <w:rsid w:val="00302FA7"/>
    <w:rsid w:val="003C0FA6"/>
    <w:rsid w:val="003E5E1C"/>
    <w:rsid w:val="0045661D"/>
    <w:rsid w:val="004879E9"/>
    <w:rsid w:val="004A39D0"/>
    <w:rsid w:val="004C3309"/>
    <w:rsid w:val="00661319"/>
    <w:rsid w:val="006A013B"/>
    <w:rsid w:val="006B5E03"/>
    <w:rsid w:val="007054E9"/>
    <w:rsid w:val="007B1742"/>
    <w:rsid w:val="007C6D68"/>
    <w:rsid w:val="007F48CA"/>
    <w:rsid w:val="0088529B"/>
    <w:rsid w:val="009611A2"/>
    <w:rsid w:val="009960B7"/>
    <w:rsid w:val="009E0887"/>
    <w:rsid w:val="00A9306E"/>
    <w:rsid w:val="00A97F13"/>
    <w:rsid w:val="00B078A0"/>
    <w:rsid w:val="00B41493"/>
    <w:rsid w:val="00BC6F82"/>
    <w:rsid w:val="00BD044B"/>
    <w:rsid w:val="00CD628A"/>
    <w:rsid w:val="00CF3BAB"/>
    <w:rsid w:val="00D04772"/>
    <w:rsid w:val="00D275BF"/>
    <w:rsid w:val="00E018C9"/>
    <w:rsid w:val="00E70894"/>
    <w:rsid w:val="00E75DC9"/>
    <w:rsid w:val="00FA310A"/>
    <w:rsid w:val="00FE04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4B"/>
    <w:pPr>
      <w:spacing w:before="120" w:after="120"/>
      <w:jc w:val="both"/>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879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4B"/>
    <w:pPr>
      <w:spacing w:before="120" w:after="120"/>
      <w:jc w:val="both"/>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87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5E4B-4761-4C3E-BE55-C1296F9C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7289</Words>
  <Characters>41553</Characters>
  <Application>Microsoft Office Word</Application>
  <DocSecurity>0</DocSecurity>
  <Lines>346</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2022-08-29T18:39:00Z</dcterms:created>
  <dcterms:modified xsi:type="dcterms:W3CDTF">2022-08-31T15:46:00Z</dcterms:modified>
</cp:coreProperties>
</file>